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39C7A" w14:textId="45CF28F8"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F20A80">
        <w:rPr>
          <w:lang w:val="en-US"/>
        </w:rPr>
        <w:t>bis</w:t>
      </w:r>
      <w:r w:rsidRPr="000404EF">
        <w:rPr>
          <w:lang w:val="en-US"/>
        </w:rPr>
        <w:tab/>
        <w:t xml:space="preserve">Tdoc </w:t>
      </w:r>
      <w:r w:rsidR="00D942D6" w:rsidRPr="00D942D6">
        <w:rPr>
          <w:bCs/>
        </w:rPr>
        <w:t>R2-170</w:t>
      </w:r>
      <w:r w:rsidR="00F20A80">
        <w:rPr>
          <w:bCs/>
        </w:rPr>
        <w:t>2711</w:t>
      </w:r>
    </w:p>
    <w:p w14:paraId="1C76A8D9" w14:textId="63130D1D" w:rsidR="00067548" w:rsidRDefault="00F20A80" w:rsidP="00067548">
      <w:pPr>
        <w:pStyle w:val="3GPPHeader"/>
        <w:spacing w:after="60"/>
        <w:rPr>
          <w:b w:val="0"/>
          <w:noProof/>
        </w:rPr>
      </w:pPr>
      <w:r>
        <w:rPr>
          <w:lang w:val="en-US"/>
        </w:rPr>
        <w:t>Spokane</w:t>
      </w:r>
      <w:r w:rsidR="00067548" w:rsidRPr="00910EE8">
        <w:rPr>
          <w:lang w:val="en-US"/>
        </w:rPr>
        <w:t xml:space="preserve">, </w:t>
      </w:r>
      <w:r>
        <w:rPr>
          <w:lang w:val="en-US"/>
        </w:rPr>
        <w:t>USA</w:t>
      </w:r>
      <w:r w:rsidR="00067548" w:rsidRPr="00910EE8">
        <w:rPr>
          <w:lang w:val="en-US"/>
        </w:rPr>
        <w:t xml:space="preserve">, </w:t>
      </w:r>
      <w:r w:rsidR="007146AF">
        <w:rPr>
          <w:lang w:val="en-US"/>
        </w:rPr>
        <w:t>3</w:t>
      </w:r>
      <w:r w:rsidR="00067548" w:rsidRPr="00910EE8">
        <w:rPr>
          <w:vertAlign w:val="superscript"/>
          <w:lang w:val="en-US"/>
        </w:rPr>
        <w:t>th</w:t>
      </w:r>
      <w:r w:rsidR="00067548">
        <w:rPr>
          <w:lang w:val="en-US"/>
        </w:rPr>
        <w:t xml:space="preserve"> </w:t>
      </w:r>
      <w:r w:rsidR="00067548" w:rsidRPr="00910EE8">
        <w:rPr>
          <w:lang w:val="en-US"/>
        </w:rPr>
        <w:t xml:space="preserve">– </w:t>
      </w:r>
      <w:r w:rsidR="007146AF">
        <w:rPr>
          <w:lang w:val="en-US"/>
        </w:rPr>
        <w:t>7</w:t>
      </w:r>
      <w:r w:rsidR="00067548" w:rsidRPr="00910EE8">
        <w:rPr>
          <w:vertAlign w:val="superscript"/>
          <w:lang w:val="en-US"/>
        </w:rPr>
        <w:t>th</w:t>
      </w:r>
      <w:r w:rsidR="00067548">
        <w:rPr>
          <w:lang w:val="en-US"/>
        </w:rPr>
        <w:t xml:space="preserve"> </w:t>
      </w:r>
      <w:r w:rsidR="007146AF">
        <w:rPr>
          <w:lang w:val="en-US"/>
        </w:rPr>
        <w:t>February</w:t>
      </w:r>
      <w:r w:rsidR="00067548" w:rsidRPr="00910EE8">
        <w:rPr>
          <w:lang w:val="en-US"/>
        </w:rPr>
        <w:t xml:space="preserve"> 2017</w:t>
      </w:r>
    </w:p>
    <w:p w14:paraId="0F384CF9" w14:textId="77777777" w:rsidR="00E90E49" w:rsidRPr="00CE0424" w:rsidRDefault="00E90E49" w:rsidP="00357380">
      <w:pPr>
        <w:pStyle w:val="3GPPHeader"/>
      </w:pPr>
    </w:p>
    <w:p w14:paraId="78834C46" w14:textId="48E222F0" w:rsidR="00D942D6" w:rsidRPr="00E04B47" w:rsidRDefault="00D942D6" w:rsidP="00D942D6">
      <w:pPr>
        <w:pStyle w:val="3GPPHeader"/>
        <w:rPr>
          <w:sz w:val="22"/>
          <w:szCs w:val="22"/>
        </w:rPr>
      </w:pPr>
      <w:r w:rsidRPr="00E04B47">
        <w:rPr>
          <w:sz w:val="22"/>
          <w:szCs w:val="22"/>
        </w:rPr>
        <w:t>Agenda Item:</w:t>
      </w:r>
      <w:r w:rsidRPr="00E04B47">
        <w:rPr>
          <w:sz w:val="22"/>
          <w:szCs w:val="22"/>
        </w:rPr>
        <w:tab/>
      </w:r>
      <w:r>
        <w:rPr>
          <w:sz w:val="22"/>
          <w:szCs w:val="22"/>
        </w:rPr>
        <w:t>10.2.2.</w:t>
      </w:r>
      <w:r w:rsidR="00F20A80">
        <w:rPr>
          <w:sz w:val="22"/>
          <w:szCs w:val="22"/>
        </w:rPr>
        <w:t>4</w:t>
      </w:r>
    </w:p>
    <w:p w14:paraId="22E645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2278F" w14:textId="2DA8109E" w:rsidR="00E90E49" w:rsidRPr="00D942D6" w:rsidRDefault="003D3C45" w:rsidP="00311702">
      <w:pPr>
        <w:pStyle w:val="3GPPHeader"/>
        <w:rPr>
          <w:sz w:val="22"/>
          <w:szCs w:val="22"/>
        </w:rPr>
      </w:pPr>
      <w:r>
        <w:rPr>
          <w:sz w:val="22"/>
          <w:szCs w:val="22"/>
        </w:rPr>
        <w:t>Title:</w:t>
      </w:r>
      <w:r w:rsidR="00E90E49" w:rsidRPr="00CE0424">
        <w:rPr>
          <w:sz w:val="22"/>
          <w:szCs w:val="22"/>
        </w:rPr>
        <w:tab/>
      </w:r>
      <w:r w:rsidR="00C3284C" w:rsidRPr="00D942D6">
        <w:rPr>
          <w:sz w:val="22"/>
          <w:szCs w:val="22"/>
        </w:rPr>
        <w:t xml:space="preserve">RLM and RLF in </w:t>
      </w:r>
      <w:r w:rsidR="00671DDD" w:rsidRPr="00D942D6">
        <w:rPr>
          <w:sz w:val="22"/>
          <w:szCs w:val="22"/>
        </w:rPr>
        <w:t xml:space="preserve">case of </w:t>
      </w:r>
      <w:r w:rsidR="0071746C" w:rsidRPr="00D942D6">
        <w:rPr>
          <w:sz w:val="22"/>
          <w:szCs w:val="22"/>
        </w:rPr>
        <w:t>LTE-</w:t>
      </w:r>
      <w:r w:rsidR="000C4419" w:rsidRPr="00D942D6">
        <w:rPr>
          <w:sz w:val="22"/>
          <w:szCs w:val="22"/>
        </w:rPr>
        <w:t>N</w:t>
      </w:r>
      <w:r w:rsidR="0071746C" w:rsidRPr="00D942D6">
        <w:rPr>
          <w:sz w:val="22"/>
          <w:szCs w:val="22"/>
        </w:rPr>
        <w:t>R tight interworking</w:t>
      </w:r>
    </w:p>
    <w:p w14:paraId="28B4854C" w14:textId="77777777" w:rsidR="00E90E49" w:rsidRPr="00CE0424" w:rsidRDefault="00E90E49" w:rsidP="007146AF">
      <w:pPr>
        <w:pStyle w:val="3GPPHeader"/>
      </w:pPr>
      <w:r w:rsidRPr="00D942D6">
        <w:rPr>
          <w:sz w:val="22"/>
          <w:szCs w:val="22"/>
        </w:rPr>
        <w:t>Document for:</w:t>
      </w:r>
      <w:r w:rsidRPr="00D942D6">
        <w:rPr>
          <w:sz w:val="22"/>
          <w:szCs w:val="22"/>
        </w:rPr>
        <w:tab/>
        <w:t>Discussion, Decision</w:t>
      </w:r>
    </w:p>
    <w:p w14:paraId="306A8143" w14:textId="77777777" w:rsidR="00E90E49" w:rsidRPr="00CE0424" w:rsidRDefault="00E90E49" w:rsidP="00CE0424">
      <w:pPr>
        <w:pStyle w:val="Heading1"/>
      </w:pPr>
      <w:r w:rsidRPr="00CE0424">
        <w:t>Introduction</w:t>
      </w:r>
    </w:p>
    <w:p w14:paraId="7C658519" w14:textId="630F2197" w:rsidR="00D666B8" w:rsidRPr="00E04B47" w:rsidRDefault="00D666B8" w:rsidP="00D666B8">
      <w:pPr>
        <w:pStyle w:val="Doc-text2"/>
        <w:ind w:left="0" w:firstLine="0"/>
      </w:pPr>
      <w:r w:rsidRPr="00E04B47">
        <w:t xml:space="preserve">In 3GPP TSG-RAN WG2 NR </w:t>
      </w:r>
      <w:r w:rsidR="00521B25">
        <w:t>adhoc and 97 meeting</w:t>
      </w:r>
      <w:r w:rsidRPr="00E04B47">
        <w:t>, the following agreements have been made</w:t>
      </w:r>
      <w:r w:rsidR="00521B25">
        <w:t xml:space="preserve"> on split bearer for SRB and split bearer for SCG</w:t>
      </w:r>
      <w:r w:rsidRPr="00E04B47">
        <w:t>:</w:t>
      </w:r>
    </w:p>
    <w:p w14:paraId="5DAFFB4E" w14:textId="77777777" w:rsidR="00D666B8" w:rsidRPr="00E04B47" w:rsidRDefault="00D666B8" w:rsidP="00D666B8">
      <w:pPr>
        <w:tabs>
          <w:tab w:val="left" w:pos="1622"/>
        </w:tabs>
        <w:overflowPunct/>
        <w:autoSpaceDE/>
        <w:autoSpaceDN/>
        <w:adjustRightInd/>
        <w:spacing w:after="0"/>
        <w:ind w:left="1622" w:hanging="363"/>
        <w:jc w:val="left"/>
        <w:textAlignment w:val="auto"/>
        <w:rPr>
          <w:rFonts w:eastAsia="MS Mincho"/>
          <w:szCs w:val="24"/>
          <w:lang w:eastAsia="en-GB"/>
        </w:rPr>
      </w:pPr>
    </w:p>
    <w:p w14:paraId="4348B67A" w14:textId="77777777" w:rsidR="00D666B8" w:rsidRPr="00E04B47" w:rsidRDefault="00D666B8" w:rsidP="00D666B8">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Agreements:</w:t>
      </w:r>
    </w:p>
    <w:p w14:paraId="578D49AD" w14:textId="77777777" w:rsidR="00D666B8" w:rsidRPr="00E04B47" w:rsidRDefault="00D666B8" w:rsidP="00D666B8">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1:  Packet duplication is supported for user plane and control plane in NR-PDCP (This agreement does not preclude discussion of other mechanisms to improve mobility robustness)</w:t>
      </w:r>
    </w:p>
    <w:p w14:paraId="62504624" w14:textId="77777777" w:rsidR="00D666B8" w:rsidRPr="00E04B47" w:rsidRDefault="00D666B8" w:rsidP="00D666B8">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FFS whether packet duplication should also be supported for LTE-NR dual connectivity</w:t>
      </w:r>
    </w:p>
    <w:p w14:paraId="3C9FBA2E" w14:textId="77777777" w:rsidR="00D666B8" w:rsidRPr="00E04B47" w:rsidRDefault="00D666B8" w:rsidP="00D666B8">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Pr>
          <w:rFonts w:eastAsia="MS Mincho"/>
          <w:szCs w:val="24"/>
          <w:lang w:eastAsia="en-GB"/>
        </w:rPr>
        <w:t>2:</w:t>
      </w:r>
      <w:r w:rsidRPr="00E04B47">
        <w:rPr>
          <w:rFonts w:eastAsia="MS Mincho"/>
          <w:szCs w:val="24"/>
          <w:lang w:eastAsia="en-GB"/>
        </w:rPr>
        <w:t xml:space="preserve"> The PDCP function in the transmitter supports packet duplication and the PDCP function in the receiver supports duplicate packet removal.</w:t>
      </w:r>
    </w:p>
    <w:p w14:paraId="56B64E27" w14:textId="77777777" w:rsidR="00D666B8" w:rsidRPr="00E04B47" w:rsidRDefault="00D666B8" w:rsidP="00D666B8">
      <w:pPr>
        <w:overflowPunct/>
        <w:autoSpaceDE/>
        <w:autoSpaceDN/>
        <w:adjustRightInd/>
        <w:spacing w:before="40" w:after="0"/>
        <w:jc w:val="left"/>
        <w:textAlignment w:val="auto"/>
        <w:rPr>
          <w:rFonts w:eastAsia="MS Mincho"/>
          <w:i/>
          <w:noProof/>
          <w:sz w:val="18"/>
          <w:szCs w:val="24"/>
          <w:lang w:eastAsia="en-GB"/>
        </w:rPr>
      </w:pPr>
    </w:p>
    <w:p w14:paraId="4FDEC6A0" w14:textId="73713C6E" w:rsidR="00D666B8" w:rsidRDefault="00D666B8" w:rsidP="00D666B8">
      <w:r>
        <w:t>Furthermore, it was also agreed that:</w:t>
      </w:r>
    </w:p>
    <w:p w14:paraId="02FCE552" w14:textId="77777777" w:rsidR="00521B25" w:rsidRPr="00521B25" w:rsidRDefault="00521B25" w:rsidP="00521B25">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521B25">
        <w:rPr>
          <w:rFonts w:eastAsia="MS Mincho"/>
          <w:szCs w:val="24"/>
          <w:lang w:eastAsia="en-GB"/>
        </w:rPr>
        <w:t>=&gt;</w:t>
      </w:r>
      <w:r w:rsidRPr="00521B25">
        <w:rPr>
          <w:rFonts w:eastAsia="MS Mincho"/>
          <w:szCs w:val="24"/>
          <w:lang w:eastAsia="en-GB"/>
        </w:rPr>
        <w:tab/>
        <w:t>For LTE-NR tight interworking with NR as master then packet duplication with MSG split bearer on control plane is supported following agreements taken for packet duplication for NR-NR dual connectivity.</w:t>
      </w:r>
    </w:p>
    <w:p w14:paraId="3AF63DED" w14:textId="77777777" w:rsidR="00521B25" w:rsidRPr="00521B25" w:rsidRDefault="00521B25" w:rsidP="00521B25">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521B25">
        <w:rPr>
          <w:rFonts w:eastAsia="MS Mincho"/>
          <w:szCs w:val="24"/>
          <w:lang w:eastAsia="en-GB"/>
        </w:rPr>
        <w:t>=&gt; Split SRB for EN-DC is supported</w:t>
      </w:r>
    </w:p>
    <w:p w14:paraId="05FB02A5" w14:textId="77777777" w:rsidR="00521B25" w:rsidRDefault="00521B25" w:rsidP="00D666B8"/>
    <w:p w14:paraId="5D23C9BD" w14:textId="77777777" w:rsidR="00521B25" w:rsidRPr="00521B25" w:rsidRDefault="00521B25" w:rsidP="00521B25">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p>
    <w:p w14:paraId="338CA749" w14:textId="77777777" w:rsidR="00521B25" w:rsidRPr="00521B25" w:rsidRDefault="00521B25" w:rsidP="00521B25">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521B25">
        <w:rPr>
          <w:rFonts w:eastAsia="MS Mincho"/>
          <w:szCs w:val="24"/>
          <w:lang w:eastAsia="en-GB"/>
        </w:rPr>
        <w:t>Agreements</w:t>
      </w:r>
    </w:p>
    <w:p w14:paraId="35FA5B82" w14:textId="77777777" w:rsidR="00521B25" w:rsidRPr="00521B25" w:rsidRDefault="00521B25" w:rsidP="00521B25">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521B25">
        <w:rPr>
          <w:rFonts w:eastAsia="MS Mincho"/>
          <w:szCs w:val="24"/>
          <w:lang w:eastAsia="en-GB"/>
        </w:rPr>
        <w:t>1</w:t>
      </w:r>
      <w:r w:rsidRPr="00521B25">
        <w:rPr>
          <w:rFonts w:eastAsia="MS Mincho"/>
          <w:szCs w:val="24"/>
          <w:lang w:eastAsia="en-GB"/>
        </w:rPr>
        <w:tab/>
        <w:t>The SCG split bearer is supported for Option 7/7a, i.e. eLTE as anchor, but not supported for the cases option 4/4a when NR is the master node.</w:t>
      </w:r>
    </w:p>
    <w:p w14:paraId="56889823" w14:textId="77777777" w:rsidR="00521B25" w:rsidRPr="00521B25" w:rsidRDefault="00521B25" w:rsidP="00521B25">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p>
    <w:p w14:paraId="00EDBA37" w14:textId="226DEFC6" w:rsidR="00D3005B" w:rsidRPr="00CE0424" w:rsidRDefault="000B480F" w:rsidP="00D54EA6">
      <w:r>
        <w:t>In this contribution, we elaborate on the benefits of using SRB diversity</w:t>
      </w:r>
      <w:r w:rsidR="008E2E21">
        <w:t xml:space="preserve"> by split SRB</w:t>
      </w:r>
      <w:r>
        <w:t xml:space="preserve"> to enable a more robust RLM and RLF handling in case of LTE-NR dual connectivity</w:t>
      </w:r>
      <w:r w:rsidR="00521B25">
        <w:t>, and a new UE behaviour when there is RLF in SCG considering the introduction of SCG split bearer</w:t>
      </w:r>
      <w:r>
        <w:t>.</w:t>
      </w:r>
    </w:p>
    <w:p w14:paraId="3B0D7F69" w14:textId="28D38C8F" w:rsidR="001643A8" w:rsidRDefault="004000E8" w:rsidP="00CE0424">
      <w:pPr>
        <w:pStyle w:val="Heading1"/>
      </w:pPr>
      <w:bookmarkStart w:id="0" w:name="_Ref178064866"/>
      <w:r w:rsidRPr="00CE0424">
        <w:t>Discussion</w:t>
      </w:r>
      <w:bookmarkEnd w:id="0"/>
    </w:p>
    <w:p w14:paraId="56C418B3" w14:textId="45B5C1BC" w:rsidR="000B480F" w:rsidRDefault="00297D2E" w:rsidP="000B480F">
      <w:r>
        <w:t>I</w:t>
      </w:r>
      <w:r w:rsidR="00556C8B">
        <w:t xml:space="preserve">n LTE, RLF is declared if the </w:t>
      </w:r>
      <w:r w:rsidR="000B020D">
        <w:t xml:space="preserve">UE detects too many out-of-synch packets via the </w:t>
      </w:r>
      <w:r w:rsidR="00556C8B">
        <w:t xml:space="preserve">MCG </w:t>
      </w:r>
      <w:r>
        <w:t xml:space="preserve">bearer </w:t>
      </w:r>
      <w:r w:rsidR="00A66A92">
        <w:t>which triggers a RRC Connection Reestablishment</w:t>
      </w:r>
      <w:r w:rsidR="00EA304E">
        <w:t xml:space="preserve"> </w:t>
      </w:r>
      <w:r w:rsidR="00EA304E">
        <w:fldChar w:fldCharType="begin"/>
      </w:r>
      <w:r w:rsidR="00EA304E">
        <w:instrText xml:space="preserve"> REF _Ref473905534 \r \h </w:instrText>
      </w:r>
      <w:r w:rsidR="00EA304E">
        <w:fldChar w:fldCharType="separate"/>
      </w:r>
      <w:r w:rsidR="00EA304E">
        <w:t>[1]</w:t>
      </w:r>
      <w:r w:rsidR="00EA304E">
        <w:fldChar w:fldCharType="end"/>
      </w:r>
      <w:r w:rsidR="00A66A92">
        <w:t>.</w:t>
      </w:r>
      <w:r w:rsidR="00836A89">
        <w:t xml:space="preserve"> This will stop all ongoing transmissions while the UE attempt to re-synchronize with the network.</w:t>
      </w:r>
      <w:r w:rsidR="00A66A92">
        <w:t xml:space="preserve"> </w:t>
      </w:r>
      <w:r>
        <w:t xml:space="preserve">In case the UE is configured with dual connectivity, the connection reestablishment will reset the SCG connection as well resulting in </w:t>
      </w:r>
      <w:r w:rsidR="00836A89">
        <w:t>a</w:t>
      </w:r>
      <w:r w:rsidR="00A66A92">
        <w:t xml:space="preserve"> service interruption</w:t>
      </w:r>
      <w:r w:rsidR="00836A89">
        <w:t xml:space="preserve"> even if the secondary carriers have excellent coverage</w:t>
      </w:r>
      <w:r w:rsidR="00A66A92">
        <w:t>. On the other hand</w:t>
      </w:r>
      <w:r w:rsidR="00177E8F">
        <w:t>, if the UE experiences</w:t>
      </w:r>
      <w:r w:rsidR="002A399E">
        <w:t xml:space="preserve"> </w:t>
      </w:r>
      <w:r w:rsidR="00077578">
        <w:t xml:space="preserve">radio link issues </w:t>
      </w:r>
      <w:r w:rsidR="002A399E">
        <w:t xml:space="preserve">on the </w:t>
      </w:r>
      <w:r w:rsidR="00177E8F">
        <w:t xml:space="preserve">SCG, the UE will not initiate a RRC connection reestablishment but instead generate a </w:t>
      </w:r>
      <w:r w:rsidR="00177E8F" w:rsidRPr="003313F4">
        <w:rPr>
          <w:i/>
        </w:rPr>
        <w:t>SCG</w:t>
      </w:r>
      <w:r w:rsidR="003313F4" w:rsidRPr="003313F4">
        <w:rPr>
          <w:i/>
        </w:rPr>
        <w:t>FailureInformation</w:t>
      </w:r>
      <w:r w:rsidR="00177E8F">
        <w:t xml:space="preserve"> </w:t>
      </w:r>
      <w:r w:rsidR="003313F4">
        <w:t>message which it transmits to the MeNB via the MCG bearer.</w:t>
      </w:r>
      <w:r w:rsidR="0005386D">
        <w:t xml:space="preserve"> The MeNB can then decide to initiate a </w:t>
      </w:r>
      <w:r w:rsidR="003030B2">
        <w:t>‘</w:t>
      </w:r>
      <w:r w:rsidR="0005386D">
        <w:rPr>
          <w:i/>
        </w:rPr>
        <w:t>SeNB release</w:t>
      </w:r>
      <w:r w:rsidR="003030B2">
        <w:rPr>
          <w:i/>
        </w:rPr>
        <w:t>’</w:t>
      </w:r>
      <w:r w:rsidR="0005386D">
        <w:t xml:space="preserve"> or a </w:t>
      </w:r>
      <w:r w:rsidR="003030B2">
        <w:t>‘</w:t>
      </w:r>
      <w:r w:rsidR="0005386D" w:rsidRPr="0005386D">
        <w:rPr>
          <w:i/>
        </w:rPr>
        <w:t>change of SeNB</w:t>
      </w:r>
      <w:r w:rsidR="003030B2">
        <w:t xml:space="preserve">’ which will remove the failing SeNB and potentially add another </w:t>
      </w:r>
      <w:r w:rsidR="00836A89">
        <w:t xml:space="preserve">one </w:t>
      </w:r>
      <w:r w:rsidR="003030B2">
        <w:t>with better signal quality.</w:t>
      </w:r>
      <w:r w:rsidR="00836A89">
        <w:t xml:space="preserve"> As the MCG bearer is unaffected, the UE doesn’t experience any service interruption as the traffic can be rerouted on the MCG bearers instead.</w:t>
      </w:r>
    </w:p>
    <w:p w14:paraId="733AF3C1" w14:textId="6416659E" w:rsidR="00077578" w:rsidRDefault="00836A89" w:rsidP="000B480F">
      <w:r>
        <w:t xml:space="preserve">In NR, it is </w:t>
      </w:r>
      <w:r w:rsidR="008127E7">
        <w:t xml:space="preserve">agreed </w:t>
      </w:r>
      <w:r>
        <w:t xml:space="preserve">to support </w:t>
      </w:r>
      <w:r w:rsidR="009E0D86">
        <w:t>split SRB</w:t>
      </w:r>
      <w:r w:rsidR="008127E7">
        <w:t xml:space="preserve"> for LTE</w:t>
      </w:r>
      <w:r w:rsidR="00A8011C">
        <w:t>-</w:t>
      </w:r>
      <w:r w:rsidR="008127E7">
        <w:t>NR tight interworking,</w:t>
      </w:r>
      <w:r w:rsidR="00A53054">
        <w:t xml:space="preserve"> which will allow the </w:t>
      </w:r>
      <w:r w:rsidR="007B5802">
        <w:t xml:space="preserve">UE </w:t>
      </w:r>
      <w:r w:rsidR="00A53054">
        <w:t xml:space="preserve">to receive </w:t>
      </w:r>
      <w:r w:rsidR="007B5802">
        <w:t xml:space="preserve">and transmit </w:t>
      </w:r>
      <w:r w:rsidR="00A53054">
        <w:t>RRC message via the SeNB</w:t>
      </w:r>
      <w:r>
        <w:t xml:space="preserve"> </w:t>
      </w:r>
      <w:r w:rsidR="00EE44E0">
        <w:fldChar w:fldCharType="begin"/>
      </w:r>
      <w:r w:rsidR="00EE44E0">
        <w:instrText xml:space="preserve"> REF _Ref473534449 \r \h </w:instrText>
      </w:r>
      <w:r w:rsidR="00EE44E0">
        <w:fldChar w:fldCharType="separate"/>
      </w:r>
      <w:r w:rsidR="008109F1">
        <w:t>[1]</w:t>
      </w:r>
      <w:r w:rsidR="00EE44E0">
        <w:fldChar w:fldCharType="end"/>
      </w:r>
      <w:r w:rsidR="00A53054">
        <w:t>. This will be particularly beneficial in case of dual connectivity where the MCG bearer fails due to RLF while the SCG bearer maintain</w:t>
      </w:r>
      <w:r w:rsidR="00D666B8">
        <w:t>s</w:t>
      </w:r>
      <w:r w:rsidR="00A53054">
        <w:t xml:space="preserve"> a good coverage. </w:t>
      </w:r>
      <w:r w:rsidR="00743BFE">
        <w:t xml:space="preserve">When </w:t>
      </w:r>
      <w:r w:rsidR="00A53054">
        <w:t xml:space="preserve">the UE detects RLF on the MCG, </w:t>
      </w:r>
      <w:r w:rsidR="00743BFE">
        <w:t>instead of trigger</w:t>
      </w:r>
      <w:r w:rsidR="00D666B8">
        <w:t>ing</w:t>
      </w:r>
      <w:r w:rsidR="00743BFE">
        <w:t xml:space="preserve"> RRCConnectionReestablishment, </w:t>
      </w:r>
      <w:r w:rsidR="00A53054">
        <w:t xml:space="preserve">the UE </w:t>
      </w:r>
      <w:r w:rsidR="006D5593">
        <w:t>would</w:t>
      </w:r>
      <w:r w:rsidR="00A53054">
        <w:t xml:space="preserve"> generate a </w:t>
      </w:r>
      <w:r w:rsidR="00A53054" w:rsidRPr="00A53054">
        <w:rPr>
          <w:i/>
        </w:rPr>
        <w:lastRenderedPageBreak/>
        <w:t>MCGFailureInformation</w:t>
      </w:r>
      <w:r w:rsidR="00A53054">
        <w:t xml:space="preserve"> which it transmits to the MeNB </w:t>
      </w:r>
      <w:r w:rsidR="00430341">
        <w:t xml:space="preserve">over </w:t>
      </w:r>
      <w:r w:rsidR="008E2E21">
        <w:t>the</w:t>
      </w:r>
      <w:r w:rsidR="00430341">
        <w:t xml:space="preserve"> split</w:t>
      </w:r>
      <w:r w:rsidR="008E2E21">
        <w:t xml:space="preserve"> </w:t>
      </w:r>
      <w:r w:rsidR="00430341">
        <w:t>SRB</w:t>
      </w:r>
      <w:r w:rsidR="00C051FC">
        <w:t xml:space="preserve"> </w:t>
      </w:r>
      <w:r w:rsidR="00A53054">
        <w:t xml:space="preserve">via the SeNB. </w:t>
      </w:r>
      <w:r w:rsidR="00077578">
        <w:t>Here radio link failure refers to existing indications from lower layers to RRC layer that are 1) RACH failure, 2) RLC max number of retransmission exceeded 3) out of synch indication from L1.</w:t>
      </w:r>
    </w:p>
    <w:p w14:paraId="6A01901C" w14:textId="4F00F81B" w:rsidR="000B480F" w:rsidRDefault="00A53054" w:rsidP="000B480F">
      <w:r>
        <w:t xml:space="preserve">When the MeNB receives the </w:t>
      </w:r>
      <w:r>
        <w:rPr>
          <w:i/>
        </w:rPr>
        <w:t>MCGFailureInformation</w:t>
      </w:r>
      <w:r>
        <w:t xml:space="preserve">, it </w:t>
      </w:r>
      <w:r w:rsidR="00C60806">
        <w:t xml:space="preserve">may decide to </w:t>
      </w:r>
      <w:r>
        <w:t xml:space="preserve">respond with a </w:t>
      </w:r>
      <w:r w:rsidRPr="00A53054">
        <w:rPr>
          <w:i/>
        </w:rPr>
        <w:t>RRCConnectionReconfiguration</w:t>
      </w:r>
      <w:r>
        <w:t xml:space="preserve"> via the SeNB</w:t>
      </w:r>
      <w:r w:rsidR="00430341">
        <w:t xml:space="preserve"> over the split-</w:t>
      </w:r>
      <w:r>
        <w:t xml:space="preserve">SRB which </w:t>
      </w:r>
      <w:r w:rsidR="00425F48">
        <w:t>results in</w:t>
      </w:r>
      <w:r w:rsidR="005E7E3D">
        <w:t xml:space="preserve"> a handover of the MCG to </w:t>
      </w:r>
      <w:r w:rsidR="00430341">
        <w:t xml:space="preserve">e.g. </w:t>
      </w:r>
      <w:r w:rsidR="005E7E3D">
        <w:t xml:space="preserve">the old SeNB or to a third eNB. </w:t>
      </w:r>
    </w:p>
    <w:p w14:paraId="66F96989" w14:textId="6DC9553E" w:rsidR="000C4419" w:rsidRDefault="000C4419" w:rsidP="00D942D6">
      <w:pPr>
        <w:pStyle w:val="Proposal"/>
      </w:pPr>
      <w:bookmarkStart w:id="1" w:name="_Toc473127709"/>
      <w:bookmarkStart w:id="2" w:name="_Toc473209862"/>
      <w:bookmarkStart w:id="3" w:name="_Toc473535993"/>
      <w:bookmarkStart w:id="4" w:name="_Toc473536005"/>
      <w:bookmarkStart w:id="5" w:name="_Toc473536196"/>
      <w:bookmarkStart w:id="6" w:name="_Toc473536583"/>
      <w:bookmarkStart w:id="7" w:name="_Toc473536595"/>
      <w:bookmarkStart w:id="8" w:name="_Toc473536622"/>
      <w:bookmarkStart w:id="9" w:name="_Toc473536710"/>
      <w:bookmarkStart w:id="10" w:name="_Toc473617109"/>
      <w:bookmarkStart w:id="11" w:name="_Toc473816308"/>
      <w:bookmarkStart w:id="12" w:name="_Toc477861366"/>
      <w:bookmarkStart w:id="13" w:name="_Toc478130653"/>
      <w:bookmarkStart w:id="14" w:name="_Toc478130758"/>
      <w:bookmarkStart w:id="15" w:name="_Toc478167965"/>
      <w:r>
        <w:t xml:space="preserve">For NR dual connectivity or LTE-NR tight interworking, when </w:t>
      </w:r>
      <w:r w:rsidR="00077578">
        <w:t xml:space="preserve">radio link failure (RACH failure, RLC failure or L1 failure) is detected </w:t>
      </w:r>
      <w:r>
        <w:t>at MCG but not SCG</w:t>
      </w:r>
      <w:r w:rsidR="008E2E21">
        <w:t xml:space="preserve"> for a UE configured with split SRB</w:t>
      </w:r>
      <w:r>
        <w:t>, instead of initiat</w:t>
      </w:r>
      <w:r w:rsidR="00D942D6">
        <w:t>ing</w:t>
      </w:r>
      <w:r>
        <w:t xml:space="preserve"> RRC connection re-establishment procedure, UE report</w:t>
      </w:r>
      <w:r w:rsidR="00D942D6">
        <w:t>s</w:t>
      </w:r>
      <w:r>
        <w:t xml:space="preserve"> such failure to NW </w:t>
      </w:r>
      <w:r w:rsidR="00605AD9">
        <w:t xml:space="preserve">over split SRB via </w:t>
      </w:r>
      <w:r>
        <w:t>SCG as long as SCG is still alive</w:t>
      </w:r>
      <w:r w:rsidRPr="00E83A60">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 xml:space="preserve"> </w:t>
      </w:r>
    </w:p>
    <w:p w14:paraId="1D307BFF" w14:textId="2CB09C72" w:rsidR="00E2547C" w:rsidRDefault="00E2547C" w:rsidP="00D942D6">
      <w:pPr>
        <w:pStyle w:val="Proposal"/>
      </w:pPr>
      <w:bookmarkStart w:id="16" w:name="_Toc478130654"/>
      <w:bookmarkStart w:id="17" w:name="_Toc478130759"/>
      <w:bookmarkStart w:id="18" w:name="_Toc478167966"/>
      <w:r>
        <w:t>Introduce new procedure for MCG Failure indication in LTE</w:t>
      </w:r>
      <w:r w:rsidR="005B350B">
        <w:t xml:space="preserve"> for UEs configured with EN-DC,</w:t>
      </w:r>
      <w:r>
        <w:t xml:space="preserve"> which is similar to current SCGFailureIndication</w:t>
      </w:r>
      <w:bookmarkEnd w:id="16"/>
      <w:bookmarkEnd w:id="17"/>
      <w:bookmarkEnd w:id="18"/>
    </w:p>
    <w:p w14:paraId="3D90B057" w14:textId="1583869A" w:rsidR="00CA3B3D" w:rsidRPr="00903A0A" w:rsidRDefault="00903A0A" w:rsidP="00D54EA6">
      <w:r>
        <w:fldChar w:fldCharType="begin"/>
      </w:r>
      <w:r>
        <w:instrText xml:space="preserve"> REF _Ref473535364 \h </w:instrText>
      </w:r>
      <w:r>
        <w:fldChar w:fldCharType="separate"/>
      </w:r>
      <w:r w:rsidR="008109F1">
        <w:t xml:space="preserve">Figure </w:t>
      </w:r>
      <w:r w:rsidR="008109F1">
        <w:rPr>
          <w:noProof/>
        </w:rPr>
        <w:t>1</w:t>
      </w:r>
      <w:r>
        <w:fldChar w:fldCharType="end"/>
      </w:r>
      <w:r>
        <w:t xml:space="preserve"> shows a</w:t>
      </w:r>
      <w:r w:rsidR="00605AD9">
        <w:t>n example</w:t>
      </w:r>
      <w:r>
        <w:t xml:space="preserve"> signalling diagram for the case when a </w:t>
      </w:r>
      <w:r w:rsidR="006C6C8E">
        <w:t xml:space="preserve">MeNB </w:t>
      </w:r>
      <w:r>
        <w:t xml:space="preserve">triggers a handover to the source SeNB upon </w:t>
      </w:r>
      <w:r w:rsidR="006C6C8E">
        <w:t>receiving MCG failure information from the UE</w:t>
      </w:r>
      <w:r w:rsidR="00125B4B">
        <w:t xml:space="preserve">. However, </w:t>
      </w:r>
      <w:r w:rsidR="00D942D6">
        <w:t>to</w:t>
      </w:r>
      <w:r w:rsidR="00125B4B">
        <w:t xml:space="preserve"> ensure security, it is needed to perform a random access to update the security keys</w:t>
      </w:r>
      <w:r w:rsidR="00C82EEF">
        <w:t>.</w:t>
      </w:r>
    </w:p>
    <w:p w14:paraId="21C4EC61" w14:textId="29DEFEB4" w:rsidR="00113CD6" w:rsidRDefault="00B55E70" w:rsidP="00B55E70">
      <w:pPr>
        <w:jc w:val="center"/>
      </w:pPr>
      <w:bookmarkStart w:id="19" w:name="_Toc473535994"/>
      <w:bookmarkEnd w:id="19"/>
      <w:r>
        <w:rPr>
          <w:noProof/>
          <w:lang w:val="fi-FI" w:eastAsia="fi-FI"/>
        </w:rPr>
        <w:drawing>
          <wp:inline distT="0" distB="0" distL="0" distR="0" wp14:anchorId="5C240F13" wp14:editId="1200B477">
            <wp:extent cx="5039801" cy="3964674"/>
            <wp:effectExtent l="0" t="0" r="8890" b="0"/>
            <wp:docPr id="3" name="Picture 3" descr="H:\IVDs\submitted\[2017] [P71078] [provisional] eNB role change at RLF\MeNB to eNB Change in source SeNB (with RL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VDs\submitted\[2017] [P71078] [provisional] eNB role change at RLF\MeNB to eNB Change in source SeNB (with RLF).png"/>
                    <pic:cNvPicPr>
                      <a:picLocks noChangeAspect="1" noChangeArrowheads="1"/>
                    </pic:cNvPicPr>
                  </pic:nvPicPr>
                  <pic:blipFill rotWithShape="1">
                    <a:blip r:embed="rId13">
                      <a:extLst>
                        <a:ext uri="{28A0092B-C50C-407E-A947-70E740481C1C}">
                          <a14:useLocalDpi xmlns:a14="http://schemas.microsoft.com/office/drawing/2010/main" val="0"/>
                        </a:ext>
                      </a:extLst>
                    </a:blip>
                    <a:srcRect b="2930"/>
                    <a:stretch/>
                  </pic:blipFill>
                  <pic:spPr bwMode="auto">
                    <a:xfrm>
                      <a:off x="0" y="0"/>
                      <a:ext cx="5040000" cy="3964830"/>
                    </a:xfrm>
                    <a:prstGeom prst="rect">
                      <a:avLst/>
                    </a:prstGeom>
                    <a:noFill/>
                    <a:ln>
                      <a:noFill/>
                    </a:ln>
                    <a:extLst>
                      <a:ext uri="{53640926-AAD7-44D8-BBD7-CCE9431645EC}">
                        <a14:shadowObscured xmlns:a14="http://schemas.microsoft.com/office/drawing/2010/main"/>
                      </a:ext>
                    </a:extLst>
                  </pic:spPr>
                </pic:pic>
              </a:graphicData>
            </a:graphic>
          </wp:inline>
        </w:drawing>
      </w:r>
    </w:p>
    <w:p w14:paraId="56106409" w14:textId="3C9B6E85" w:rsidR="00903A0A" w:rsidRDefault="00903A0A" w:rsidP="00903A0A">
      <w:pPr>
        <w:pStyle w:val="Caption"/>
      </w:pPr>
      <w:bookmarkStart w:id="20" w:name="_Ref473535364"/>
      <w:r>
        <w:t xml:space="preserve">Figure </w:t>
      </w:r>
      <w:r>
        <w:fldChar w:fldCharType="begin"/>
      </w:r>
      <w:r>
        <w:instrText xml:space="preserve"> SEQ Figure \* ARABIC </w:instrText>
      </w:r>
      <w:r>
        <w:fldChar w:fldCharType="separate"/>
      </w:r>
      <w:r w:rsidR="008109F1">
        <w:rPr>
          <w:noProof/>
        </w:rPr>
        <w:t>1</w:t>
      </w:r>
      <w:r>
        <w:fldChar w:fldCharType="end"/>
      </w:r>
      <w:bookmarkEnd w:id="20"/>
      <w:r>
        <w:t>. Signalling diagram for MeNB handover to SeNB at MCG failure</w:t>
      </w:r>
    </w:p>
    <w:p w14:paraId="02219D3D" w14:textId="76D4A592" w:rsidR="00903A0A" w:rsidRDefault="001661E9" w:rsidP="001661E9">
      <w:r>
        <w:t>In case both the MCG and SCG encounter RLF simultaneously, or if the handover to the SeNB fails due to RLF, e.g. if a UE enters an indoor area with very poor coverage, the UE should fallback to the RRC connection re-establishment procedure.</w:t>
      </w:r>
    </w:p>
    <w:p w14:paraId="09528CFB" w14:textId="7C6ED504" w:rsidR="000C4419" w:rsidRDefault="000C4419" w:rsidP="00D942D6">
      <w:pPr>
        <w:pStyle w:val="Proposal"/>
      </w:pPr>
      <w:bookmarkStart w:id="21" w:name="_Toc473127710"/>
      <w:bookmarkStart w:id="22" w:name="_Toc473209863"/>
      <w:bookmarkStart w:id="23" w:name="_Toc473535995"/>
      <w:bookmarkStart w:id="24" w:name="_Toc473536006"/>
      <w:bookmarkStart w:id="25" w:name="_Toc473536197"/>
      <w:bookmarkStart w:id="26" w:name="_Toc473536584"/>
      <w:bookmarkStart w:id="27" w:name="_Toc473536596"/>
      <w:bookmarkStart w:id="28" w:name="_Toc473536623"/>
      <w:bookmarkStart w:id="29" w:name="_Toc473536711"/>
      <w:bookmarkStart w:id="30" w:name="_Toc473617110"/>
      <w:bookmarkStart w:id="31" w:name="_Toc473816309"/>
      <w:bookmarkStart w:id="32" w:name="_Toc477861367"/>
      <w:bookmarkStart w:id="33" w:name="_Toc478130655"/>
      <w:bookmarkStart w:id="34" w:name="_Toc478130760"/>
      <w:bookmarkStart w:id="35" w:name="_Toc478167967"/>
      <w:r w:rsidRPr="00D942D6">
        <w:t>RRC connection re-establishment procedure is only initiated when both MCG and SCG encounter RLF</w:t>
      </w:r>
      <w:bookmarkEnd w:id="21"/>
      <w:bookmarkEnd w:id="22"/>
      <w:bookmarkEnd w:id="23"/>
      <w:bookmarkEnd w:id="24"/>
      <w:bookmarkEnd w:id="25"/>
      <w:bookmarkEnd w:id="26"/>
      <w:bookmarkEnd w:id="27"/>
      <w:bookmarkEnd w:id="28"/>
      <w:bookmarkEnd w:id="29"/>
      <w:bookmarkEnd w:id="30"/>
      <w:bookmarkEnd w:id="31"/>
      <w:r w:rsidR="00D942D6">
        <w:t>.</w:t>
      </w:r>
      <w:bookmarkEnd w:id="32"/>
      <w:bookmarkEnd w:id="33"/>
      <w:bookmarkEnd w:id="34"/>
      <w:bookmarkEnd w:id="35"/>
    </w:p>
    <w:p w14:paraId="4FC8353B" w14:textId="4A305174" w:rsidR="00077578" w:rsidRDefault="00C051FC" w:rsidP="00C051FC">
      <w:r>
        <w:t>As discussed above, when UE encounters RLF on SCG, similar procedure as defined in LTE can be reused</w:t>
      </w:r>
      <w:r w:rsidR="005B350B">
        <w:t xml:space="preserve"> in NR RRC</w:t>
      </w:r>
      <w:r w:rsidR="00077578">
        <w:t>.</w:t>
      </w:r>
    </w:p>
    <w:p w14:paraId="42FDFEA7" w14:textId="4EAF048E" w:rsidR="00C051FC" w:rsidRPr="002213D7" w:rsidRDefault="00C051FC" w:rsidP="00C051FC">
      <w:r>
        <w:t>That is, u</w:t>
      </w:r>
      <w:r w:rsidRPr="002213D7">
        <w:t>pon initiating the procedure, the UE shall:</w:t>
      </w:r>
    </w:p>
    <w:p w14:paraId="251F308D" w14:textId="77777777" w:rsidR="00C051FC" w:rsidRPr="002213D7" w:rsidRDefault="00C051FC" w:rsidP="00C051FC">
      <w:pPr>
        <w:pStyle w:val="B1"/>
      </w:pPr>
      <w:r w:rsidRPr="002213D7">
        <w:t>1&gt;</w:t>
      </w:r>
      <w:r w:rsidRPr="002213D7">
        <w:tab/>
        <w:t>suspend all SCG DRBs and suspend SCG transmission for split DRBs;</w:t>
      </w:r>
    </w:p>
    <w:p w14:paraId="38964992" w14:textId="77777777" w:rsidR="00C051FC" w:rsidRPr="002213D7" w:rsidRDefault="00C051FC" w:rsidP="00C051FC">
      <w:pPr>
        <w:pStyle w:val="B1"/>
      </w:pPr>
      <w:r w:rsidRPr="002213D7">
        <w:t>1&gt;</w:t>
      </w:r>
      <w:r w:rsidRPr="002213D7">
        <w:tab/>
        <w:t>reset SCG-MAC;</w:t>
      </w:r>
    </w:p>
    <w:p w14:paraId="7891304A" w14:textId="77777777" w:rsidR="00C051FC" w:rsidRPr="002213D7" w:rsidRDefault="00C051FC" w:rsidP="00C051FC">
      <w:pPr>
        <w:pStyle w:val="B1"/>
      </w:pPr>
      <w:r w:rsidRPr="00FE446E">
        <w:lastRenderedPageBreak/>
        <w:t>1&gt;</w:t>
      </w:r>
      <w:r w:rsidRPr="00FE446E">
        <w:tab/>
        <w:t>stop T307;</w:t>
      </w:r>
    </w:p>
    <w:p w14:paraId="74F6874F" w14:textId="77777777" w:rsidR="00C051FC" w:rsidRPr="002213D7" w:rsidRDefault="00C051FC" w:rsidP="00C051FC">
      <w:pPr>
        <w:pStyle w:val="B1"/>
      </w:pPr>
      <w:r w:rsidRPr="002213D7">
        <w:t>1&gt;</w:t>
      </w:r>
      <w:r w:rsidRPr="002213D7">
        <w:tab/>
        <w:t xml:space="preserve">initiate transmission of the </w:t>
      </w:r>
      <w:r w:rsidRPr="002213D7">
        <w:rPr>
          <w:i/>
          <w:iCs/>
        </w:rPr>
        <w:t>SCGFailureInformation</w:t>
      </w:r>
      <w:r w:rsidRPr="002213D7">
        <w:t xml:space="preserve"> message in accordance with 5.6.13.3;</w:t>
      </w:r>
    </w:p>
    <w:p w14:paraId="64E07700" w14:textId="09CCAF4C" w:rsidR="00C051FC" w:rsidRDefault="00C051FC" w:rsidP="00C051FC">
      <w:r>
        <w:t xml:space="preserve">Since SCG split bearer has been agreed to be introduced in NR, and for SCG split bearer, it has both MCG leg and SCG leg, failure on SCG does not affect </w:t>
      </w:r>
      <w:r w:rsidR="005544BB">
        <w:t>operation on MCG leg, therefore UE can continue</w:t>
      </w:r>
      <w:r w:rsidR="00B45416">
        <w:t xml:space="preserve"> to</w:t>
      </w:r>
      <w:r w:rsidR="005544BB">
        <w:t xml:space="preserve"> use SCG split bearer even </w:t>
      </w:r>
      <w:r w:rsidR="00B45416">
        <w:t xml:space="preserve">if </w:t>
      </w:r>
      <w:r w:rsidR="005544BB">
        <w:t>SCG encounter</w:t>
      </w:r>
      <w:r w:rsidR="00B45416">
        <w:t>s</w:t>
      </w:r>
      <w:r w:rsidR="005544BB">
        <w:t xml:space="preserve"> RLF</w:t>
      </w:r>
      <w:r>
        <w:t xml:space="preserve">.  </w:t>
      </w:r>
    </w:p>
    <w:p w14:paraId="200BE0B1" w14:textId="12CA042C" w:rsidR="00E2547C" w:rsidRDefault="00E2547C" w:rsidP="00E2547C">
      <w:pPr>
        <w:pStyle w:val="Proposal"/>
      </w:pPr>
      <w:bookmarkStart w:id="36" w:name="_Toc478130656"/>
      <w:bookmarkStart w:id="37" w:name="_Toc478130761"/>
      <w:bookmarkStart w:id="38" w:name="_Toc477861368"/>
      <w:bookmarkStart w:id="39" w:name="_Toc478167968"/>
      <w:r>
        <w:t xml:space="preserve">Reuse current </w:t>
      </w:r>
      <w:r w:rsidRPr="00447D58">
        <w:rPr>
          <w:i/>
        </w:rPr>
        <w:t>SCGFailureIn</w:t>
      </w:r>
      <w:r w:rsidR="00447D58">
        <w:rPr>
          <w:i/>
        </w:rPr>
        <w:t>formation</w:t>
      </w:r>
      <w:r>
        <w:t xml:space="preserve"> of LTE in the new NR RRC specification</w:t>
      </w:r>
      <w:bookmarkEnd w:id="36"/>
      <w:bookmarkEnd w:id="37"/>
      <w:bookmarkEnd w:id="39"/>
    </w:p>
    <w:p w14:paraId="4929698B" w14:textId="05138749" w:rsidR="005544BB" w:rsidRDefault="00E2547C" w:rsidP="005544BB">
      <w:pPr>
        <w:pStyle w:val="Proposal"/>
      </w:pPr>
      <w:bookmarkStart w:id="40" w:name="_Toc478130657"/>
      <w:bookmarkStart w:id="41" w:name="_Toc478130762"/>
      <w:bookmarkStart w:id="42" w:name="_Toc478167969"/>
      <w:r>
        <w:t xml:space="preserve">Similar to LTE, </w:t>
      </w:r>
      <w:r w:rsidR="005544BB">
        <w:t xml:space="preserve">UE </w:t>
      </w:r>
      <w:r w:rsidR="00553982">
        <w:t xml:space="preserve">can </w:t>
      </w:r>
      <w:r w:rsidR="005544BB">
        <w:t xml:space="preserve">continue </w:t>
      </w:r>
      <w:r w:rsidR="00B45416">
        <w:t xml:space="preserve">to </w:t>
      </w:r>
      <w:r w:rsidR="005544BB">
        <w:t>use</w:t>
      </w:r>
      <w:r w:rsidR="00B45416">
        <w:t xml:space="preserve"> the</w:t>
      </w:r>
      <w:r w:rsidR="005544BB">
        <w:t xml:space="preserve"> SCG split bearer when </w:t>
      </w:r>
      <w:r w:rsidR="005544BB" w:rsidRPr="00D942D6">
        <w:t>SCG encounter</w:t>
      </w:r>
      <w:r w:rsidR="00B45416">
        <w:t>s</w:t>
      </w:r>
      <w:r w:rsidR="005544BB" w:rsidRPr="00D942D6">
        <w:t xml:space="preserve"> RLF</w:t>
      </w:r>
      <w:r w:rsidR="00454CA3">
        <w:t xml:space="preserve"> although it need</w:t>
      </w:r>
      <w:r w:rsidR="00B45416">
        <w:t>s</w:t>
      </w:r>
      <w:r w:rsidR="00454CA3">
        <w:t xml:space="preserve"> to suspend SCG transmission for SCG split bearer</w:t>
      </w:r>
      <w:r w:rsidR="005544BB">
        <w:t>.</w:t>
      </w:r>
      <w:bookmarkEnd w:id="38"/>
      <w:bookmarkEnd w:id="40"/>
      <w:bookmarkEnd w:id="41"/>
      <w:bookmarkEnd w:id="42"/>
    </w:p>
    <w:p w14:paraId="290B2124" w14:textId="77777777" w:rsidR="005544BB" w:rsidRPr="00D942D6" w:rsidRDefault="005544BB" w:rsidP="00C051FC"/>
    <w:p w14:paraId="27E1E38B" w14:textId="77777777" w:rsidR="00C01F33" w:rsidRPr="00CE0424" w:rsidRDefault="00C01F33" w:rsidP="00CE0424">
      <w:pPr>
        <w:pStyle w:val="Heading1"/>
      </w:pPr>
      <w:r w:rsidRPr="00CE0424">
        <w:t>Conclusion</w:t>
      </w:r>
    </w:p>
    <w:p w14:paraId="0A75A904" w14:textId="77777777" w:rsidR="00605AD9" w:rsidRDefault="008E065E" w:rsidP="00035FAA">
      <w:r w:rsidRPr="00CE0424">
        <w:t>Based on the discus</w:t>
      </w:r>
      <w:bookmarkStart w:id="43" w:name="_GoBack"/>
      <w:bookmarkEnd w:id="43"/>
      <w:r w:rsidRPr="00CE0424">
        <w:t xml:space="preserve">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109F1">
        <w:t>2</w:t>
      </w:r>
      <w:r w:rsidRPr="00CE0424">
        <w:rPr>
          <w:highlight w:val="cyan"/>
        </w:rPr>
        <w:fldChar w:fldCharType="end"/>
      </w:r>
      <w:r w:rsidRPr="00CE0424">
        <w:t xml:space="preserve"> we propose the following:</w:t>
      </w:r>
    </w:p>
    <w:p w14:paraId="5EB95FF6" w14:textId="77777777" w:rsidR="008625F8" w:rsidRDefault="008E065E">
      <w:pPr>
        <w:pStyle w:val="TOC1"/>
        <w:rPr>
          <w:rFonts w:asciiTheme="minorHAnsi" w:eastAsiaTheme="minorEastAsia" w:hAnsiTheme="minorHAnsi" w:cstheme="minorBidi"/>
          <w:b w:val="0"/>
          <w:sz w:val="22"/>
          <w:lang w:val="fi-FI" w:eastAsia="fi-FI"/>
        </w:rPr>
      </w:pPr>
      <w:r>
        <w:rPr>
          <w:b w:val="0"/>
          <w:bCs/>
        </w:rPr>
        <w:fldChar w:fldCharType="begin"/>
      </w:r>
      <w:r>
        <w:rPr>
          <w:bCs/>
        </w:rPr>
        <w:instrText xml:space="preserve"> TOC \f \n \p " " \t "Proposal;1" </w:instrText>
      </w:r>
      <w:r>
        <w:rPr>
          <w:b w:val="0"/>
          <w:bCs/>
        </w:rPr>
        <w:fldChar w:fldCharType="separate"/>
      </w:r>
      <w:r w:rsidR="008625F8">
        <w:t>Proposal 1</w:t>
      </w:r>
      <w:r w:rsidR="008625F8">
        <w:rPr>
          <w:rFonts w:asciiTheme="minorHAnsi" w:eastAsiaTheme="minorEastAsia" w:hAnsiTheme="minorHAnsi" w:cstheme="minorBidi"/>
          <w:b w:val="0"/>
          <w:sz w:val="22"/>
          <w:lang w:val="fi-FI" w:eastAsia="fi-FI"/>
        </w:rPr>
        <w:tab/>
      </w:r>
      <w:r w:rsidR="008625F8">
        <w:t>For NR dual connectivity or LTE-NR tight interworking, when radio link failure (RACH failure, RLC failure or L1 failure) is detected at MCG but not SCG for a UE configured with split SRB, instead of initiating RRC connection re-establishment procedure, UE reports such failure to NW over split SRB via SCG as long as SCG is still alive.</w:t>
      </w:r>
    </w:p>
    <w:p w14:paraId="08A33F15" w14:textId="77777777" w:rsidR="008625F8" w:rsidRDefault="008625F8">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Introduce new procedure for MCG Failure indication in LTE for UEs configured with EN-DC, which is similar to current SCGFailureIndication</w:t>
      </w:r>
    </w:p>
    <w:p w14:paraId="79B7AC84" w14:textId="77777777" w:rsidR="008625F8" w:rsidRDefault="008625F8">
      <w:pPr>
        <w:pStyle w:val="TOC1"/>
        <w:rPr>
          <w:rFonts w:asciiTheme="minorHAnsi" w:eastAsiaTheme="minorEastAsia" w:hAnsiTheme="minorHAnsi" w:cstheme="minorBidi"/>
          <w:b w:val="0"/>
          <w:sz w:val="22"/>
          <w:lang w:val="fi-FI" w:eastAsia="fi-FI"/>
        </w:rPr>
      </w:pPr>
      <w:r>
        <w:t>Proposal 3</w:t>
      </w:r>
      <w:r>
        <w:rPr>
          <w:rFonts w:asciiTheme="minorHAnsi" w:eastAsiaTheme="minorEastAsia" w:hAnsiTheme="minorHAnsi" w:cstheme="minorBidi"/>
          <w:b w:val="0"/>
          <w:sz w:val="22"/>
          <w:lang w:val="fi-FI" w:eastAsia="fi-FI"/>
        </w:rPr>
        <w:tab/>
      </w:r>
      <w:r>
        <w:t>RRC connection re-establishment procedure is only initiated when both MCG and SCG encounter RLF.</w:t>
      </w:r>
    </w:p>
    <w:p w14:paraId="16624462" w14:textId="77777777" w:rsidR="008625F8" w:rsidRDefault="008625F8">
      <w:pPr>
        <w:pStyle w:val="TOC1"/>
        <w:rPr>
          <w:rFonts w:asciiTheme="minorHAnsi" w:eastAsiaTheme="minorEastAsia" w:hAnsiTheme="minorHAnsi" w:cstheme="minorBidi"/>
          <w:b w:val="0"/>
          <w:sz w:val="22"/>
          <w:lang w:val="fi-FI" w:eastAsia="fi-FI"/>
        </w:rPr>
      </w:pPr>
      <w:r>
        <w:t>Proposal 4</w:t>
      </w:r>
      <w:r>
        <w:rPr>
          <w:rFonts w:asciiTheme="minorHAnsi" w:eastAsiaTheme="minorEastAsia" w:hAnsiTheme="minorHAnsi" w:cstheme="minorBidi"/>
          <w:b w:val="0"/>
          <w:sz w:val="22"/>
          <w:lang w:val="fi-FI" w:eastAsia="fi-FI"/>
        </w:rPr>
        <w:tab/>
      </w:r>
      <w:r>
        <w:t xml:space="preserve">Reuse current </w:t>
      </w:r>
      <w:r w:rsidRPr="00B730EA">
        <w:rPr>
          <w:i/>
        </w:rPr>
        <w:t>SCGFailureInformation</w:t>
      </w:r>
      <w:r>
        <w:t xml:space="preserve"> of LTE in the new NR RRC specification</w:t>
      </w:r>
    </w:p>
    <w:p w14:paraId="52E623F7" w14:textId="77777777" w:rsidR="008625F8" w:rsidRDefault="008625F8">
      <w:pPr>
        <w:pStyle w:val="TOC1"/>
        <w:rPr>
          <w:rFonts w:asciiTheme="minorHAnsi" w:eastAsiaTheme="minorEastAsia" w:hAnsiTheme="minorHAnsi" w:cstheme="minorBidi"/>
          <w:b w:val="0"/>
          <w:sz w:val="22"/>
          <w:lang w:val="fi-FI" w:eastAsia="fi-FI"/>
        </w:rPr>
      </w:pPr>
      <w:r>
        <w:t>Proposal 5</w:t>
      </w:r>
      <w:r>
        <w:rPr>
          <w:rFonts w:asciiTheme="minorHAnsi" w:eastAsiaTheme="minorEastAsia" w:hAnsiTheme="minorHAnsi" w:cstheme="minorBidi"/>
          <w:b w:val="0"/>
          <w:sz w:val="22"/>
          <w:lang w:val="fi-FI" w:eastAsia="fi-FI"/>
        </w:rPr>
        <w:tab/>
      </w:r>
      <w:r>
        <w:t>Similar to LTE, UE can continue to use the SCG split bearer when SCG encounters RLF although it needs to suspend SCG transmission for SCG split bearer.</w:t>
      </w:r>
    </w:p>
    <w:p w14:paraId="5C23D878" w14:textId="08A5E11A" w:rsidR="00C01F33" w:rsidRPr="00CE0424" w:rsidRDefault="008E065E" w:rsidP="006E062C">
      <w:r>
        <w:rPr>
          <w:b/>
          <w:bCs/>
        </w:rPr>
        <w:fldChar w:fldCharType="end"/>
      </w:r>
    </w:p>
    <w:p w14:paraId="66346508" w14:textId="77777777" w:rsidR="00F507D1" w:rsidRPr="00CE0424" w:rsidRDefault="00F507D1" w:rsidP="00CE0424">
      <w:pPr>
        <w:pStyle w:val="Heading1"/>
      </w:pPr>
      <w:bookmarkStart w:id="44" w:name="_In-sequence_SDU_delivery"/>
      <w:bookmarkEnd w:id="44"/>
      <w:r w:rsidRPr="00CE0424">
        <w:t>References</w:t>
      </w:r>
    </w:p>
    <w:p w14:paraId="070ABCB3" w14:textId="7B41817D" w:rsidR="00EA304E" w:rsidRDefault="00EA304E" w:rsidP="00EA304E">
      <w:pPr>
        <w:pStyle w:val="Reference"/>
      </w:pPr>
      <w:bookmarkStart w:id="45" w:name="_Ref473905534"/>
      <w:bookmarkStart w:id="46" w:name="_Ref473534449"/>
      <w:bookmarkStart w:id="47" w:name="_Ref174151459"/>
      <w:bookmarkStart w:id="48" w:name="_Ref189809556"/>
      <w:r>
        <w:t>R2-170</w:t>
      </w:r>
      <w:r w:rsidR="00F20A80">
        <w:t>2677</w:t>
      </w:r>
      <w:r>
        <w:t xml:space="preserve">, RLM and RLF in NR, Ericsson, </w:t>
      </w:r>
      <w:r w:rsidRPr="00583BD9">
        <w:t>RAN2#97</w:t>
      </w:r>
      <w:r w:rsidR="00F20A80">
        <w:t>bis</w:t>
      </w:r>
      <w:r w:rsidRPr="00583BD9">
        <w:t xml:space="preserve">, </w:t>
      </w:r>
      <w:r w:rsidR="00F20A80">
        <w:t>April</w:t>
      </w:r>
      <w:r w:rsidRPr="00583BD9">
        <w:t xml:space="preserve"> </w:t>
      </w:r>
      <w:r w:rsidRPr="00583BD9">
        <w:rPr>
          <w:lang w:val="en-US"/>
        </w:rPr>
        <w:t>3</w:t>
      </w:r>
      <w:r w:rsidRPr="00583BD9">
        <w:rPr>
          <w:vertAlign w:val="superscript"/>
          <w:lang w:val="en-US"/>
        </w:rPr>
        <w:t>th</w:t>
      </w:r>
      <w:r w:rsidRPr="00583BD9">
        <w:rPr>
          <w:lang w:val="en-US"/>
        </w:rPr>
        <w:t xml:space="preserve"> – 7</w:t>
      </w:r>
      <w:r w:rsidRPr="00583BD9">
        <w:rPr>
          <w:vertAlign w:val="superscript"/>
          <w:lang w:val="en-US"/>
        </w:rPr>
        <w:t>th</w:t>
      </w:r>
      <w:r w:rsidRPr="00583BD9">
        <w:rPr>
          <w:lang w:val="en-US"/>
        </w:rPr>
        <w:t xml:space="preserve"> </w:t>
      </w:r>
      <w:r w:rsidRPr="00583BD9">
        <w:t>2017.</w:t>
      </w:r>
      <w:bookmarkEnd w:id="45"/>
    </w:p>
    <w:p w14:paraId="4FDD4FC8" w14:textId="45E5684B" w:rsidR="00732030" w:rsidRPr="00D942D6" w:rsidRDefault="00732030" w:rsidP="00EA304E">
      <w:pPr>
        <w:pStyle w:val="Reference"/>
      </w:pPr>
      <w:r w:rsidRPr="00D942D6">
        <w:t>R2-</w:t>
      </w:r>
      <w:r w:rsidR="00D942D6" w:rsidRPr="00D942D6">
        <w:t>1700915</w:t>
      </w:r>
      <w:r w:rsidR="00D942D6">
        <w:t>,</w:t>
      </w:r>
      <w:r w:rsidR="00B34D97" w:rsidRPr="00D942D6">
        <w:t xml:space="preserve"> </w:t>
      </w:r>
      <w:r w:rsidRPr="00D942D6">
        <w:t>“</w:t>
      </w:r>
      <w:r w:rsidR="00D942D6">
        <w:t xml:space="preserve">Split </w:t>
      </w:r>
      <w:r w:rsidR="00B34D97" w:rsidRPr="00D942D6">
        <w:t>SRB for LTE-NR interworking</w:t>
      </w:r>
      <w:r w:rsidRPr="00D942D6">
        <w:t>”, Ericsson</w:t>
      </w:r>
      <w:bookmarkEnd w:id="46"/>
      <w:r w:rsidR="00EA304E">
        <w:t xml:space="preserve">, </w:t>
      </w:r>
      <w:r w:rsidR="00EA304E" w:rsidRPr="00583BD9">
        <w:t xml:space="preserve">RAN2#97, February </w:t>
      </w:r>
      <w:r w:rsidR="00EA304E" w:rsidRPr="00583BD9">
        <w:rPr>
          <w:lang w:val="en-US"/>
        </w:rPr>
        <w:t>13</w:t>
      </w:r>
      <w:r w:rsidR="00EA304E" w:rsidRPr="00583BD9">
        <w:rPr>
          <w:vertAlign w:val="superscript"/>
          <w:lang w:val="en-US"/>
        </w:rPr>
        <w:t>th</w:t>
      </w:r>
      <w:r w:rsidR="00EA304E" w:rsidRPr="00583BD9">
        <w:rPr>
          <w:lang w:val="en-US"/>
        </w:rPr>
        <w:t xml:space="preserve"> – 17</w:t>
      </w:r>
      <w:r w:rsidR="00EA304E" w:rsidRPr="00583BD9">
        <w:rPr>
          <w:vertAlign w:val="superscript"/>
          <w:lang w:val="en-US"/>
        </w:rPr>
        <w:t>th</w:t>
      </w:r>
      <w:r w:rsidR="00EA304E" w:rsidRPr="00583BD9">
        <w:rPr>
          <w:lang w:val="en-US"/>
        </w:rPr>
        <w:t xml:space="preserve"> </w:t>
      </w:r>
      <w:r w:rsidR="00EA304E" w:rsidRPr="00583BD9">
        <w:t>2017.</w:t>
      </w:r>
    </w:p>
    <w:p w14:paraId="53859796" w14:textId="03C9FB38" w:rsidR="005F3025" w:rsidRPr="00D942D6" w:rsidRDefault="00CD64D8" w:rsidP="00EA304E">
      <w:pPr>
        <w:pStyle w:val="Reference"/>
      </w:pPr>
      <w:bookmarkStart w:id="49" w:name="_Ref473536085"/>
      <w:r w:rsidRPr="00D942D6">
        <w:t>R2-</w:t>
      </w:r>
      <w:r w:rsidR="00D942D6" w:rsidRPr="00D942D6">
        <w:t>1700923</w:t>
      </w:r>
      <w:r w:rsidR="00D942D6">
        <w:t>, “</w:t>
      </w:r>
      <w:r w:rsidRPr="00D942D6">
        <w:t>SeNB to MeNB reconfiguration for NR dual connectivity</w:t>
      </w:r>
      <w:r w:rsidR="00D942D6">
        <w:t>”</w:t>
      </w:r>
      <w:r w:rsidRPr="00D942D6">
        <w:t>, Ericsson</w:t>
      </w:r>
      <w:bookmarkEnd w:id="49"/>
      <w:r w:rsidR="00EA304E">
        <w:t xml:space="preserve">, </w:t>
      </w:r>
      <w:r w:rsidR="00EA304E" w:rsidRPr="00583BD9">
        <w:t xml:space="preserve">RAN2#97, February </w:t>
      </w:r>
      <w:r w:rsidR="00EA304E" w:rsidRPr="00583BD9">
        <w:rPr>
          <w:lang w:val="en-US"/>
        </w:rPr>
        <w:t>13</w:t>
      </w:r>
      <w:r w:rsidR="00EA304E" w:rsidRPr="00583BD9">
        <w:rPr>
          <w:vertAlign w:val="superscript"/>
          <w:lang w:val="en-US"/>
        </w:rPr>
        <w:t>th</w:t>
      </w:r>
      <w:r w:rsidR="00EA304E" w:rsidRPr="00583BD9">
        <w:rPr>
          <w:lang w:val="en-US"/>
        </w:rPr>
        <w:t xml:space="preserve"> – 17</w:t>
      </w:r>
      <w:r w:rsidR="00EA304E" w:rsidRPr="00583BD9">
        <w:rPr>
          <w:vertAlign w:val="superscript"/>
          <w:lang w:val="en-US"/>
        </w:rPr>
        <w:t>th</w:t>
      </w:r>
      <w:r w:rsidR="00EA304E" w:rsidRPr="00583BD9">
        <w:rPr>
          <w:lang w:val="en-US"/>
        </w:rPr>
        <w:t xml:space="preserve"> </w:t>
      </w:r>
      <w:r w:rsidR="000E7B4B">
        <w:t>2017.</w:t>
      </w:r>
    </w:p>
    <w:bookmarkEnd w:id="47"/>
    <w:bookmarkEnd w:id="48"/>
    <w:p w14:paraId="471526A4" w14:textId="77777777" w:rsidR="003A7EF3" w:rsidRPr="00CD64D8" w:rsidRDefault="003A7EF3" w:rsidP="00CE0424">
      <w:pPr>
        <w:pStyle w:val="BodyText"/>
        <w:rPr>
          <w:lang w:val="en-US"/>
        </w:rPr>
      </w:pPr>
    </w:p>
    <w:sectPr w:rsidR="003A7EF3" w:rsidRPr="00CD64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F6F83" w14:textId="77777777" w:rsidR="00E75594" w:rsidRDefault="00E75594">
      <w:r>
        <w:separator/>
      </w:r>
    </w:p>
  </w:endnote>
  <w:endnote w:type="continuationSeparator" w:id="0">
    <w:p w14:paraId="63BA7FD3" w14:textId="77777777" w:rsidR="00E75594" w:rsidRDefault="00E75594">
      <w:r>
        <w:continuationSeparator/>
      </w:r>
    </w:p>
  </w:endnote>
  <w:endnote w:type="continuationNotice" w:id="1">
    <w:p w14:paraId="549DE78B" w14:textId="77777777" w:rsidR="00E75594" w:rsidRDefault="00E75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5137" w14:textId="1D99DDEF" w:rsidR="00B55E70" w:rsidRDefault="00B55E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25F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5F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2A960" w14:textId="77777777" w:rsidR="00E75594" w:rsidRDefault="00E75594">
      <w:r>
        <w:separator/>
      </w:r>
    </w:p>
  </w:footnote>
  <w:footnote w:type="continuationSeparator" w:id="0">
    <w:p w14:paraId="4B01DF6B" w14:textId="77777777" w:rsidR="00E75594" w:rsidRDefault="00E75594">
      <w:r>
        <w:continuationSeparator/>
      </w:r>
    </w:p>
  </w:footnote>
  <w:footnote w:type="continuationNotice" w:id="1">
    <w:p w14:paraId="685E057B" w14:textId="77777777" w:rsidR="00E75594" w:rsidRDefault="00E75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25B0" w14:textId="77777777" w:rsidR="00B55E70" w:rsidRDefault="00B55E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7"/>
    <w:lvlOverride w:ilvl="0">
      <w:startOverride w:val="3"/>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196"/>
    <w:rsid w:val="000006E1"/>
    <w:rsid w:val="00002A37"/>
    <w:rsid w:val="00006446"/>
    <w:rsid w:val="00006896"/>
    <w:rsid w:val="00006B58"/>
    <w:rsid w:val="00007CDC"/>
    <w:rsid w:val="00011B28"/>
    <w:rsid w:val="00015D15"/>
    <w:rsid w:val="0002564D"/>
    <w:rsid w:val="00025ECA"/>
    <w:rsid w:val="00027939"/>
    <w:rsid w:val="000325B8"/>
    <w:rsid w:val="00034C15"/>
    <w:rsid w:val="00035FAA"/>
    <w:rsid w:val="00036BA1"/>
    <w:rsid w:val="000422E2"/>
    <w:rsid w:val="00042F22"/>
    <w:rsid w:val="000444EF"/>
    <w:rsid w:val="00052A07"/>
    <w:rsid w:val="000534E3"/>
    <w:rsid w:val="0005386D"/>
    <w:rsid w:val="00055BAB"/>
    <w:rsid w:val="0005606A"/>
    <w:rsid w:val="00057117"/>
    <w:rsid w:val="000616E7"/>
    <w:rsid w:val="000632FB"/>
    <w:rsid w:val="0006487E"/>
    <w:rsid w:val="00065E1A"/>
    <w:rsid w:val="00067548"/>
    <w:rsid w:val="0007757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0D"/>
    <w:rsid w:val="000B2719"/>
    <w:rsid w:val="000B3A8F"/>
    <w:rsid w:val="000B480F"/>
    <w:rsid w:val="000B4AB9"/>
    <w:rsid w:val="000B58C3"/>
    <w:rsid w:val="000B61E9"/>
    <w:rsid w:val="000C165A"/>
    <w:rsid w:val="000C2E19"/>
    <w:rsid w:val="000C4419"/>
    <w:rsid w:val="000D0D07"/>
    <w:rsid w:val="000D4797"/>
    <w:rsid w:val="000E0527"/>
    <w:rsid w:val="000E1E92"/>
    <w:rsid w:val="000E2A66"/>
    <w:rsid w:val="000E7B4B"/>
    <w:rsid w:val="000F06D6"/>
    <w:rsid w:val="000F0EB1"/>
    <w:rsid w:val="000F1106"/>
    <w:rsid w:val="000F3BE9"/>
    <w:rsid w:val="000F3F6C"/>
    <w:rsid w:val="000F6DF3"/>
    <w:rsid w:val="001005FF"/>
    <w:rsid w:val="001062FB"/>
    <w:rsid w:val="001063E6"/>
    <w:rsid w:val="00111A6E"/>
    <w:rsid w:val="00113C1B"/>
    <w:rsid w:val="00113CD6"/>
    <w:rsid w:val="00113CF4"/>
    <w:rsid w:val="001153EA"/>
    <w:rsid w:val="00115643"/>
    <w:rsid w:val="00116765"/>
    <w:rsid w:val="001219F5"/>
    <w:rsid w:val="00121A20"/>
    <w:rsid w:val="00122F2E"/>
    <w:rsid w:val="0012377F"/>
    <w:rsid w:val="00124314"/>
    <w:rsid w:val="00125B4B"/>
    <w:rsid w:val="00126B4A"/>
    <w:rsid w:val="00132FD0"/>
    <w:rsid w:val="001344C0"/>
    <w:rsid w:val="001346FA"/>
    <w:rsid w:val="00135252"/>
    <w:rsid w:val="00137AB5"/>
    <w:rsid w:val="00137F0B"/>
    <w:rsid w:val="00137F0E"/>
    <w:rsid w:val="00151E23"/>
    <w:rsid w:val="001526E0"/>
    <w:rsid w:val="001551B5"/>
    <w:rsid w:val="001643A8"/>
    <w:rsid w:val="001659C1"/>
    <w:rsid w:val="001661E9"/>
    <w:rsid w:val="00173A8E"/>
    <w:rsid w:val="00177795"/>
    <w:rsid w:val="00177E8F"/>
    <w:rsid w:val="00177EBE"/>
    <w:rsid w:val="0018143F"/>
    <w:rsid w:val="00183E2F"/>
    <w:rsid w:val="0018466C"/>
    <w:rsid w:val="00190AC1"/>
    <w:rsid w:val="0019341A"/>
    <w:rsid w:val="00197DF9"/>
    <w:rsid w:val="001A1987"/>
    <w:rsid w:val="001A2564"/>
    <w:rsid w:val="001A6173"/>
    <w:rsid w:val="001A6CBA"/>
    <w:rsid w:val="001B0D97"/>
    <w:rsid w:val="001B5A5D"/>
    <w:rsid w:val="001C1CE5"/>
    <w:rsid w:val="001C3D2A"/>
    <w:rsid w:val="001C6495"/>
    <w:rsid w:val="001D37C4"/>
    <w:rsid w:val="001D51BA"/>
    <w:rsid w:val="001D6342"/>
    <w:rsid w:val="001D6D53"/>
    <w:rsid w:val="001E3C9E"/>
    <w:rsid w:val="001E58E2"/>
    <w:rsid w:val="001E7AED"/>
    <w:rsid w:val="001F3916"/>
    <w:rsid w:val="001F54C5"/>
    <w:rsid w:val="001F662C"/>
    <w:rsid w:val="001F7074"/>
    <w:rsid w:val="00200490"/>
    <w:rsid w:val="00201F3A"/>
    <w:rsid w:val="00203F96"/>
    <w:rsid w:val="002069B2"/>
    <w:rsid w:val="00207FA3"/>
    <w:rsid w:val="00214DA8"/>
    <w:rsid w:val="0021529C"/>
    <w:rsid w:val="00215423"/>
    <w:rsid w:val="002158FA"/>
    <w:rsid w:val="00220600"/>
    <w:rsid w:val="002224DB"/>
    <w:rsid w:val="00223FCB"/>
    <w:rsid w:val="002252C3"/>
    <w:rsid w:val="00225C54"/>
    <w:rsid w:val="00230765"/>
    <w:rsid w:val="002319E4"/>
    <w:rsid w:val="00235632"/>
    <w:rsid w:val="00235872"/>
    <w:rsid w:val="00241559"/>
    <w:rsid w:val="00241CEB"/>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68D9"/>
    <w:rsid w:val="002805F5"/>
    <w:rsid w:val="00280751"/>
    <w:rsid w:val="0028280A"/>
    <w:rsid w:val="00286ACD"/>
    <w:rsid w:val="00287838"/>
    <w:rsid w:val="002907B5"/>
    <w:rsid w:val="00292EB7"/>
    <w:rsid w:val="00296227"/>
    <w:rsid w:val="00296F44"/>
    <w:rsid w:val="0029777D"/>
    <w:rsid w:val="00297D2E"/>
    <w:rsid w:val="002A055E"/>
    <w:rsid w:val="002A1D4E"/>
    <w:rsid w:val="002A2869"/>
    <w:rsid w:val="002A399E"/>
    <w:rsid w:val="002B24D6"/>
    <w:rsid w:val="002C41E6"/>
    <w:rsid w:val="002D071A"/>
    <w:rsid w:val="002D34B2"/>
    <w:rsid w:val="002D7637"/>
    <w:rsid w:val="002E17F2"/>
    <w:rsid w:val="002E7CAE"/>
    <w:rsid w:val="002F2771"/>
    <w:rsid w:val="002F37A9"/>
    <w:rsid w:val="00301CE6"/>
    <w:rsid w:val="0030256B"/>
    <w:rsid w:val="003030B2"/>
    <w:rsid w:val="0030501F"/>
    <w:rsid w:val="00307BA1"/>
    <w:rsid w:val="00311702"/>
    <w:rsid w:val="00311E82"/>
    <w:rsid w:val="00313FD6"/>
    <w:rsid w:val="003143BD"/>
    <w:rsid w:val="00317B01"/>
    <w:rsid w:val="003203ED"/>
    <w:rsid w:val="00322C9F"/>
    <w:rsid w:val="00324D23"/>
    <w:rsid w:val="003313F4"/>
    <w:rsid w:val="00331751"/>
    <w:rsid w:val="00334579"/>
    <w:rsid w:val="00335858"/>
    <w:rsid w:val="00336BDA"/>
    <w:rsid w:val="00342BD7"/>
    <w:rsid w:val="00343A07"/>
    <w:rsid w:val="00346DB5"/>
    <w:rsid w:val="003477B1"/>
    <w:rsid w:val="0035482C"/>
    <w:rsid w:val="00355AD0"/>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5F48"/>
    <w:rsid w:val="00427248"/>
    <w:rsid w:val="00430341"/>
    <w:rsid w:val="00437447"/>
    <w:rsid w:val="00440B16"/>
    <w:rsid w:val="00441A92"/>
    <w:rsid w:val="00444F56"/>
    <w:rsid w:val="00446488"/>
    <w:rsid w:val="00447D58"/>
    <w:rsid w:val="00450F9C"/>
    <w:rsid w:val="004517AA"/>
    <w:rsid w:val="00451811"/>
    <w:rsid w:val="00452CAC"/>
    <w:rsid w:val="00453537"/>
    <w:rsid w:val="00454CA3"/>
    <w:rsid w:val="00457565"/>
    <w:rsid w:val="00457B71"/>
    <w:rsid w:val="00465F3A"/>
    <w:rsid w:val="004669E2"/>
    <w:rsid w:val="00470C31"/>
    <w:rsid w:val="004734D0"/>
    <w:rsid w:val="0047556B"/>
    <w:rsid w:val="00477768"/>
    <w:rsid w:val="00492BC5"/>
    <w:rsid w:val="004964F1"/>
    <w:rsid w:val="004A16BC"/>
    <w:rsid w:val="004A2B94"/>
    <w:rsid w:val="004B7C0C"/>
    <w:rsid w:val="004C0725"/>
    <w:rsid w:val="004C159C"/>
    <w:rsid w:val="004C3898"/>
    <w:rsid w:val="004D36B1"/>
    <w:rsid w:val="004D7EBD"/>
    <w:rsid w:val="004E2680"/>
    <w:rsid w:val="004E28F9"/>
    <w:rsid w:val="004E462E"/>
    <w:rsid w:val="004E56DC"/>
    <w:rsid w:val="004E76F4"/>
    <w:rsid w:val="004F0B4E"/>
    <w:rsid w:val="004F0B6C"/>
    <w:rsid w:val="004F1729"/>
    <w:rsid w:val="004F2078"/>
    <w:rsid w:val="004F4335"/>
    <w:rsid w:val="004F4DA3"/>
    <w:rsid w:val="004F7BF2"/>
    <w:rsid w:val="00502773"/>
    <w:rsid w:val="00506557"/>
    <w:rsid w:val="0050677A"/>
    <w:rsid w:val="005108D8"/>
    <w:rsid w:val="005116F9"/>
    <w:rsid w:val="005153A7"/>
    <w:rsid w:val="005219CF"/>
    <w:rsid w:val="00521B25"/>
    <w:rsid w:val="00531534"/>
    <w:rsid w:val="005338D0"/>
    <w:rsid w:val="00534B59"/>
    <w:rsid w:val="00536759"/>
    <w:rsid w:val="00537C62"/>
    <w:rsid w:val="00546970"/>
    <w:rsid w:val="00553982"/>
    <w:rsid w:val="005544BB"/>
    <w:rsid w:val="00554E19"/>
    <w:rsid w:val="00556C8B"/>
    <w:rsid w:val="0056121F"/>
    <w:rsid w:val="00571E9E"/>
    <w:rsid w:val="00572505"/>
    <w:rsid w:val="00580202"/>
    <w:rsid w:val="00582809"/>
    <w:rsid w:val="0058404C"/>
    <w:rsid w:val="0058798C"/>
    <w:rsid w:val="005900FA"/>
    <w:rsid w:val="005935A4"/>
    <w:rsid w:val="005948C2"/>
    <w:rsid w:val="00595DCA"/>
    <w:rsid w:val="0059779B"/>
    <w:rsid w:val="005A209A"/>
    <w:rsid w:val="005A662D"/>
    <w:rsid w:val="005B350B"/>
    <w:rsid w:val="005B35D7"/>
    <w:rsid w:val="005B392A"/>
    <w:rsid w:val="005B3AA3"/>
    <w:rsid w:val="005B6E5F"/>
    <w:rsid w:val="005B6F83"/>
    <w:rsid w:val="005C74FB"/>
    <w:rsid w:val="005D1602"/>
    <w:rsid w:val="005D1EF2"/>
    <w:rsid w:val="005E385F"/>
    <w:rsid w:val="005E5B81"/>
    <w:rsid w:val="005E7E3D"/>
    <w:rsid w:val="005F2CB1"/>
    <w:rsid w:val="005F3025"/>
    <w:rsid w:val="005F4D03"/>
    <w:rsid w:val="005F618C"/>
    <w:rsid w:val="005F70BD"/>
    <w:rsid w:val="0060283C"/>
    <w:rsid w:val="00604F14"/>
    <w:rsid w:val="00605AD9"/>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DDD"/>
    <w:rsid w:val="0067218F"/>
    <w:rsid w:val="006741F2"/>
    <w:rsid w:val="00674CC3"/>
    <w:rsid w:val="00675C72"/>
    <w:rsid w:val="006771F9"/>
    <w:rsid w:val="006776D7"/>
    <w:rsid w:val="00681003"/>
    <w:rsid w:val="006817C9"/>
    <w:rsid w:val="00683ECE"/>
    <w:rsid w:val="00693C39"/>
    <w:rsid w:val="00695FC2"/>
    <w:rsid w:val="00696949"/>
    <w:rsid w:val="00697052"/>
    <w:rsid w:val="006A455C"/>
    <w:rsid w:val="006A46FB"/>
    <w:rsid w:val="006A5E28"/>
    <w:rsid w:val="006A697B"/>
    <w:rsid w:val="006A7152"/>
    <w:rsid w:val="006A7AFF"/>
    <w:rsid w:val="006B1816"/>
    <w:rsid w:val="006B2099"/>
    <w:rsid w:val="006B50CF"/>
    <w:rsid w:val="006C03B8"/>
    <w:rsid w:val="006C5EC9"/>
    <w:rsid w:val="006C6059"/>
    <w:rsid w:val="006C6C8E"/>
    <w:rsid w:val="006C7522"/>
    <w:rsid w:val="006D52F1"/>
    <w:rsid w:val="006D559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746C"/>
    <w:rsid w:val="00721593"/>
    <w:rsid w:val="00726EA6"/>
    <w:rsid w:val="00727208"/>
    <w:rsid w:val="00727680"/>
    <w:rsid w:val="00732030"/>
    <w:rsid w:val="007348B1"/>
    <w:rsid w:val="00734B23"/>
    <w:rsid w:val="007362A6"/>
    <w:rsid w:val="00736D7D"/>
    <w:rsid w:val="00740E58"/>
    <w:rsid w:val="00743BFE"/>
    <w:rsid w:val="0074405B"/>
    <w:rsid w:val="007445A0"/>
    <w:rsid w:val="0074524B"/>
    <w:rsid w:val="00747D8B"/>
    <w:rsid w:val="00751228"/>
    <w:rsid w:val="007571E1"/>
    <w:rsid w:val="007604B2"/>
    <w:rsid w:val="00765281"/>
    <w:rsid w:val="00766BAD"/>
    <w:rsid w:val="0077202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802"/>
    <w:rsid w:val="007C05DD"/>
    <w:rsid w:val="007C3D18"/>
    <w:rsid w:val="007C60BF"/>
    <w:rsid w:val="007C69B6"/>
    <w:rsid w:val="007C6A07"/>
    <w:rsid w:val="007C75A1"/>
    <w:rsid w:val="007C77A5"/>
    <w:rsid w:val="007D04E5"/>
    <w:rsid w:val="007D5901"/>
    <w:rsid w:val="007D7526"/>
    <w:rsid w:val="007E4610"/>
    <w:rsid w:val="007E4715"/>
    <w:rsid w:val="007E505B"/>
    <w:rsid w:val="007E7091"/>
    <w:rsid w:val="007F2C07"/>
    <w:rsid w:val="00803FAE"/>
    <w:rsid w:val="008056BC"/>
    <w:rsid w:val="0080605F"/>
    <w:rsid w:val="00807786"/>
    <w:rsid w:val="008109F1"/>
    <w:rsid w:val="00811FCB"/>
    <w:rsid w:val="008127E7"/>
    <w:rsid w:val="008158D6"/>
    <w:rsid w:val="00817196"/>
    <w:rsid w:val="00817EDE"/>
    <w:rsid w:val="008235DB"/>
    <w:rsid w:val="00824AB4"/>
    <w:rsid w:val="00825C42"/>
    <w:rsid w:val="00825D25"/>
    <w:rsid w:val="00827D6F"/>
    <w:rsid w:val="00836A89"/>
    <w:rsid w:val="008376AC"/>
    <w:rsid w:val="008444E8"/>
    <w:rsid w:val="00844E80"/>
    <w:rsid w:val="00846FE7"/>
    <w:rsid w:val="00850CEC"/>
    <w:rsid w:val="00856911"/>
    <w:rsid w:val="008576FD"/>
    <w:rsid w:val="008625F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E21"/>
    <w:rsid w:val="008F1EAB"/>
    <w:rsid w:val="008F33DC"/>
    <w:rsid w:val="008F477F"/>
    <w:rsid w:val="00902350"/>
    <w:rsid w:val="0090336B"/>
    <w:rsid w:val="00903A0A"/>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3CF"/>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7A6"/>
    <w:rsid w:val="00994DCA"/>
    <w:rsid w:val="009960EC"/>
    <w:rsid w:val="009970DD"/>
    <w:rsid w:val="009A0FBA"/>
    <w:rsid w:val="009A1601"/>
    <w:rsid w:val="009A462D"/>
    <w:rsid w:val="009A5CBA"/>
    <w:rsid w:val="009B1F30"/>
    <w:rsid w:val="009B3AC2"/>
    <w:rsid w:val="009B4DF4"/>
    <w:rsid w:val="009B564E"/>
    <w:rsid w:val="009B7E87"/>
    <w:rsid w:val="009C403E"/>
    <w:rsid w:val="009D0D3F"/>
    <w:rsid w:val="009D4FF0"/>
    <w:rsid w:val="009D703C"/>
    <w:rsid w:val="009D718F"/>
    <w:rsid w:val="009E068F"/>
    <w:rsid w:val="009E0D86"/>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53054"/>
    <w:rsid w:val="00A61499"/>
    <w:rsid w:val="00A62A77"/>
    <w:rsid w:val="00A63483"/>
    <w:rsid w:val="00A656BC"/>
    <w:rsid w:val="00A657D7"/>
    <w:rsid w:val="00A660AC"/>
    <w:rsid w:val="00A66A92"/>
    <w:rsid w:val="00A67E6C"/>
    <w:rsid w:val="00A71B99"/>
    <w:rsid w:val="00A739D0"/>
    <w:rsid w:val="00A761D4"/>
    <w:rsid w:val="00A77EC4"/>
    <w:rsid w:val="00A8011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7F1"/>
    <w:rsid w:val="00B20256"/>
    <w:rsid w:val="00B20D09"/>
    <w:rsid w:val="00B2763F"/>
    <w:rsid w:val="00B27AAC"/>
    <w:rsid w:val="00B30929"/>
    <w:rsid w:val="00B34D97"/>
    <w:rsid w:val="00B372AA"/>
    <w:rsid w:val="00B40445"/>
    <w:rsid w:val="00B41888"/>
    <w:rsid w:val="00B42BDB"/>
    <w:rsid w:val="00B442F3"/>
    <w:rsid w:val="00B45416"/>
    <w:rsid w:val="00B45A52"/>
    <w:rsid w:val="00B46175"/>
    <w:rsid w:val="00B47652"/>
    <w:rsid w:val="00B55E70"/>
    <w:rsid w:val="00B62AAA"/>
    <w:rsid w:val="00B664C7"/>
    <w:rsid w:val="00B70CFF"/>
    <w:rsid w:val="00B739F6"/>
    <w:rsid w:val="00B81A6C"/>
    <w:rsid w:val="00B82F7A"/>
    <w:rsid w:val="00B85DE5"/>
    <w:rsid w:val="00B90F73"/>
    <w:rsid w:val="00B9206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B49"/>
    <w:rsid w:val="00BE7406"/>
    <w:rsid w:val="00BE7603"/>
    <w:rsid w:val="00BF3279"/>
    <w:rsid w:val="00BF4BB4"/>
    <w:rsid w:val="00BF74C7"/>
    <w:rsid w:val="00C015F1"/>
    <w:rsid w:val="00C01F33"/>
    <w:rsid w:val="00C02CC6"/>
    <w:rsid w:val="00C040F7"/>
    <w:rsid w:val="00C041B0"/>
    <w:rsid w:val="00C044AB"/>
    <w:rsid w:val="00C051FC"/>
    <w:rsid w:val="00C05706"/>
    <w:rsid w:val="00C07377"/>
    <w:rsid w:val="00C10478"/>
    <w:rsid w:val="00C12107"/>
    <w:rsid w:val="00C14D4B"/>
    <w:rsid w:val="00C154BB"/>
    <w:rsid w:val="00C26FAA"/>
    <w:rsid w:val="00C279B5"/>
    <w:rsid w:val="00C27C45"/>
    <w:rsid w:val="00C31D01"/>
    <w:rsid w:val="00C3284C"/>
    <w:rsid w:val="00C3719D"/>
    <w:rsid w:val="00C45954"/>
    <w:rsid w:val="00C54995"/>
    <w:rsid w:val="00C54D41"/>
    <w:rsid w:val="00C60783"/>
    <w:rsid w:val="00C60806"/>
    <w:rsid w:val="00C64672"/>
    <w:rsid w:val="00C70697"/>
    <w:rsid w:val="00C72EF4"/>
    <w:rsid w:val="00C75D2F"/>
    <w:rsid w:val="00C767BE"/>
    <w:rsid w:val="00C76963"/>
    <w:rsid w:val="00C76E3C"/>
    <w:rsid w:val="00C81568"/>
    <w:rsid w:val="00C82EEF"/>
    <w:rsid w:val="00C9027A"/>
    <w:rsid w:val="00C9068E"/>
    <w:rsid w:val="00C92227"/>
    <w:rsid w:val="00C93C4B"/>
    <w:rsid w:val="00C944AB"/>
    <w:rsid w:val="00C95B40"/>
    <w:rsid w:val="00CA1ED8"/>
    <w:rsid w:val="00CA3B3D"/>
    <w:rsid w:val="00CB1F63"/>
    <w:rsid w:val="00CB6A44"/>
    <w:rsid w:val="00CB7170"/>
    <w:rsid w:val="00CC040E"/>
    <w:rsid w:val="00CC111F"/>
    <w:rsid w:val="00CC2011"/>
    <w:rsid w:val="00CC3EA0"/>
    <w:rsid w:val="00CC7B45"/>
    <w:rsid w:val="00CD1188"/>
    <w:rsid w:val="00CD2ED1"/>
    <w:rsid w:val="00CD3173"/>
    <w:rsid w:val="00CD337B"/>
    <w:rsid w:val="00CD64D8"/>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4EA6"/>
    <w:rsid w:val="00D55AD5"/>
    <w:rsid w:val="00D576CA"/>
    <w:rsid w:val="00D60E13"/>
    <w:rsid w:val="00D61AF5"/>
    <w:rsid w:val="00D62CD5"/>
    <w:rsid w:val="00D6435F"/>
    <w:rsid w:val="00D652B5"/>
    <w:rsid w:val="00D66155"/>
    <w:rsid w:val="00D666B8"/>
    <w:rsid w:val="00D708B0"/>
    <w:rsid w:val="00D70E73"/>
    <w:rsid w:val="00D77B1D"/>
    <w:rsid w:val="00D8021F"/>
    <w:rsid w:val="00D80383"/>
    <w:rsid w:val="00D823C6"/>
    <w:rsid w:val="00D86CA3"/>
    <w:rsid w:val="00D871CE"/>
    <w:rsid w:val="00D9196D"/>
    <w:rsid w:val="00D92982"/>
    <w:rsid w:val="00D942D6"/>
    <w:rsid w:val="00DA305E"/>
    <w:rsid w:val="00DA5007"/>
    <w:rsid w:val="00DA5417"/>
    <w:rsid w:val="00DA56E8"/>
    <w:rsid w:val="00DB0A9F"/>
    <w:rsid w:val="00DB377D"/>
    <w:rsid w:val="00DC2D36"/>
    <w:rsid w:val="00DC403E"/>
    <w:rsid w:val="00DC53EF"/>
    <w:rsid w:val="00DD0FAB"/>
    <w:rsid w:val="00DD2AD9"/>
    <w:rsid w:val="00DE5608"/>
    <w:rsid w:val="00DE58D0"/>
    <w:rsid w:val="00DE654F"/>
    <w:rsid w:val="00DF0B6E"/>
    <w:rsid w:val="00DF15E0"/>
    <w:rsid w:val="00DF37A0"/>
    <w:rsid w:val="00DF5C56"/>
    <w:rsid w:val="00E110E7"/>
    <w:rsid w:val="00E11B20"/>
    <w:rsid w:val="00E17FA2"/>
    <w:rsid w:val="00E22330"/>
    <w:rsid w:val="00E2547C"/>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594"/>
    <w:rsid w:val="00E758EC"/>
    <w:rsid w:val="00E8234C"/>
    <w:rsid w:val="00E83AA9"/>
    <w:rsid w:val="00E85928"/>
    <w:rsid w:val="00E87822"/>
    <w:rsid w:val="00E90395"/>
    <w:rsid w:val="00E90E49"/>
    <w:rsid w:val="00E917F9"/>
    <w:rsid w:val="00E9291C"/>
    <w:rsid w:val="00E93FFE"/>
    <w:rsid w:val="00E94F8A"/>
    <w:rsid w:val="00EA304E"/>
    <w:rsid w:val="00EA7A41"/>
    <w:rsid w:val="00EB077B"/>
    <w:rsid w:val="00EB4EA2"/>
    <w:rsid w:val="00EB6D63"/>
    <w:rsid w:val="00EC27C6"/>
    <w:rsid w:val="00EC4207"/>
    <w:rsid w:val="00EC5653"/>
    <w:rsid w:val="00EC60B5"/>
    <w:rsid w:val="00EC71CE"/>
    <w:rsid w:val="00ED1006"/>
    <w:rsid w:val="00EE2E1E"/>
    <w:rsid w:val="00EE44E0"/>
    <w:rsid w:val="00EF18FE"/>
    <w:rsid w:val="00EF5787"/>
    <w:rsid w:val="00EF60D0"/>
    <w:rsid w:val="00F0528D"/>
    <w:rsid w:val="00F06C67"/>
    <w:rsid w:val="00F06DFD"/>
    <w:rsid w:val="00F071D1"/>
    <w:rsid w:val="00F07533"/>
    <w:rsid w:val="00F10629"/>
    <w:rsid w:val="00F15FA5"/>
    <w:rsid w:val="00F209B7"/>
    <w:rsid w:val="00F20A80"/>
    <w:rsid w:val="00F2376F"/>
    <w:rsid w:val="00F243D8"/>
    <w:rsid w:val="00F30828"/>
    <w:rsid w:val="00F313D6"/>
    <w:rsid w:val="00F40F0C"/>
    <w:rsid w:val="00F4766C"/>
    <w:rsid w:val="00F507D1"/>
    <w:rsid w:val="00F519CE"/>
    <w:rsid w:val="00F51ADA"/>
    <w:rsid w:val="00F5241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97A69"/>
    <w:rsid w:val="00FA2BB3"/>
    <w:rsid w:val="00FB4C80"/>
    <w:rsid w:val="00FB6A6A"/>
    <w:rsid w:val="00FC4AD0"/>
    <w:rsid w:val="00FC7429"/>
    <w:rsid w:val="00FD0347"/>
    <w:rsid w:val="00FD07F6"/>
    <w:rsid w:val="00FD1EC8"/>
    <w:rsid w:val="00FD3FB3"/>
    <w:rsid w:val="00FD47ED"/>
    <w:rsid w:val="00FD74DB"/>
    <w:rsid w:val="00FD7660"/>
    <w:rsid w:val="00FE0655"/>
    <w:rsid w:val="00FE2365"/>
    <w:rsid w:val="00FE431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04A29"/>
  <w15:docId w15:val="{018212D5-5426-4256-8308-B46EF436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625F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625F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625F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25F8"/>
    <w:pPr>
      <w:numPr>
        <w:ilvl w:val="2"/>
      </w:numPr>
      <w:spacing w:before="120"/>
      <w:outlineLvl w:val="2"/>
    </w:pPr>
    <w:rPr>
      <w:sz w:val="28"/>
      <w:szCs w:val="28"/>
    </w:rPr>
  </w:style>
  <w:style w:type="paragraph" w:styleId="Heading4">
    <w:name w:val="heading 4"/>
    <w:basedOn w:val="Heading3"/>
    <w:next w:val="Normal"/>
    <w:qFormat/>
    <w:rsid w:val="008625F8"/>
    <w:pPr>
      <w:numPr>
        <w:ilvl w:val="3"/>
      </w:numPr>
      <w:outlineLvl w:val="3"/>
    </w:pPr>
    <w:rPr>
      <w:sz w:val="24"/>
      <w:szCs w:val="24"/>
    </w:rPr>
  </w:style>
  <w:style w:type="paragraph" w:styleId="Heading5">
    <w:name w:val="heading 5"/>
    <w:basedOn w:val="Heading4"/>
    <w:next w:val="Normal"/>
    <w:qFormat/>
    <w:rsid w:val="008625F8"/>
    <w:pPr>
      <w:numPr>
        <w:ilvl w:val="4"/>
      </w:numPr>
      <w:outlineLvl w:val="4"/>
    </w:pPr>
    <w:rPr>
      <w:sz w:val="22"/>
      <w:szCs w:val="22"/>
    </w:rPr>
  </w:style>
  <w:style w:type="paragraph" w:styleId="Heading6">
    <w:name w:val="heading 6"/>
    <w:basedOn w:val="Normal"/>
    <w:next w:val="Normal"/>
    <w:qFormat/>
    <w:rsid w:val="008625F8"/>
    <w:pPr>
      <w:keepNext/>
      <w:keepLines/>
      <w:numPr>
        <w:ilvl w:val="5"/>
        <w:numId w:val="1"/>
      </w:numPr>
      <w:spacing w:before="120"/>
      <w:outlineLvl w:val="5"/>
    </w:pPr>
    <w:rPr>
      <w:rFonts w:cs="Arial"/>
    </w:rPr>
  </w:style>
  <w:style w:type="paragraph" w:styleId="Heading7">
    <w:name w:val="heading 7"/>
    <w:basedOn w:val="Normal"/>
    <w:next w:val="Normal"/>
    <w:qFormat/>
    <w:rsid w:val="008625F8"/>
    <w:pPr>
      <w:keepNext/>
      <w:keepLines/>
      <w:numPr>
        <w:ilvl w:val="6"/>
        <w:numId w:val="1"/>
      </w:numPr>
      <w:spacing w:before="120"/>
      <w:outlineLvl w:val="6"/>
    </w:pPr>
    <w:rPr>
      <w:rFonts w:cs="Arial"/>
    </w:rPr>
  </w:style>
  <w:style w:type="paragraph" w:styleId="Heading8">
    <w:name w:val="heading 8"/>
    <w:basedOn w:val="Heading7"/>
    <w:next w:val="Normal"/>
    <w:qFormat/>
    <w:rsid w:val="008625F8"/>
    <w:pPr>
      <w:numPr>
        <w:ilvl w:val="7"/>
      </w:numPr>
      <w:outlineLvl w:val="7"/>
    </w:pPr>
  </w:style>
  <w:style w:type="paragraph" w:styleId="Heading9">
    <w:name w:val="heading 9"/>
    <w:basedOn w:val="Heading8"/>
    <w:next w:val="Normal"/>
    <w:qFormat/>
    <w:rsid w:val="008625F8"/>
    <w:pPr>
      <w:numPr>
        <w:ilvl w:val="8"/>
      </w:numPr>
      <w:outlineLvl w:val="8"/>
    </w:pPr>
  </w:style>
  <w:style w:type="character" w:default="1" w:styleId="DefaultParagraphFont">
    <w:name w:val="Default Paragraph Font"/>
    <w:uiPriority w:val="1"/>
    <w:semiHidden/>
    <w:unhideWhenUsed/>
    <w:rsid w:val="008625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5F8"/>
  </w:style>
  <w:style w:type="paragraph" w:styleId="TOC8">
    <w:name w:val="toc 8"/>
    <w:basedOn w:val="TOC1"/>
    <w:semiHidden/>
    <w:rsid w:val="008625F8"/>
    <w:pPr>
      <w:spacing w:before="180"/>
      <w:ind w:left="2693" w:hanging="2693"/>
    </w:pPr>
    <w:rPr>
      <w:b w:val="0"/>
      <w:bCs/>
    </w:rPr>
  </w:style>
  <w:style w:type="paragraph" w:styleId="TOC1">
    <w:name w:val="toc 1"/>
    <w:aliases w:val="Observation TOC2"/>
    <w:uiPriority w:val="39"/>
    <w:rsid w:val="008625F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625F8"/>
    <w:pPr>
      <w:keepNext/>
      <w:keepLines/>
      <w:spacing w:before="180"/>
      <w:jc w:val="center"/>
    </w:pPr>
  </w:style>
  <w:style w:type="paragraph" w:styleId="Caption">
    <w:name w:val="caption"/>
    <w:basedOn w:val="Normal"/>
    <w:next w:val="Normal"/>
    <w:qFormat/>
    <w:rsid w:val="008625F8"/>
    <w:pPr>
      <w:spacing w:after="240"/>
      <w:jc w:val="center"/>
    </w:pPr>
    <w:rPr>
      <w:b/>
      <w:bCs/>
    </w:rPr>
  </w:style>
  <w:style w:type="paragraph" w:styleId="TOC5">
    <w:name w:val="toc 5"/>
    <w:aliases w:val="Observation TOC"/>
    <w:basedOn w:val="TOC4"/>
    <w:semiHidden/>
    <w:rsid w:val="008625F8"/>
    <w:pPr>
      <w:tabs>
        <w:tab w:val="right" w:pos="1701"/>
      </w:tabs>
      <w:ind w:left="1701" w:hanging="1701"/>
    </w:pPr>
  </w:style>
  <w:style w:type="paragraph" w:styleId="TOC4">
    <w:name w:val="toc 4"/>
    <w:basedOn w:val="TOC3"/>
    <w:semiHidden/>
    <w:rsid w:val="008625F8"/>
    <w:pPr>
      <w:ind w:left="1418" w:hanging="1418"/>
    </w:pPr>
  </w:style>
  <w:style w:type="paragraph" w:styleId="TOC3">
    <w:name w:val="toc 3"/>
    <w:basedOn w:val="TOC2"/>
    <w:semiHidden/>
    <w:rsid w:val="008625F8"/>
    <w:pPr>
      <w:ind w:left="1134" w:hanging="1134"/>
    </w:pPr>
  </w:style>
  <w:style w:type="paragraph" w:styleId="TOC2">
    <w:name w:val="toc 2"/>
    <w:basedOn w:val="TOC1"/>
    <w:semiHidden/>
    <w:rsid w:val="008625F8"/>
    <w:pPr>
      <w:keepNext w:val="0"/>
      <w:spacing w:before="0"/>
      <w:ind w:left="851" w:hanging="851"/>
    </w:pPr>
    <w:rPr>
      <w:szCs w:val="20"/>
    </w:rPr>
  </w:style>
  <w:style w:type="paragraph" w:styleId="Index2">
    <w:name w:val="index 2"/>
    <w:basedOn w:val="Index1"/>
    <w:semiHidden/>
    <w:rsid w:val="008625F8"/>
    <w:pPr>
      <w:ind w:left="284"/>
    </w:pPr>
  </w:style>
  <w:style w:type="paragraph" w:styleId="Index1">
    <w:name w:val="index 1"/>
    <w:basedOn w:val="Normal"/>
    <w:semiHidden/>
    <w:rsid w:val="008625F8"/>
    <w:pPr>
      <w:keepLines/>
      <w:spacing w:after="0"/>
    </w:pPr>
  </w:style>
  <w:style w:type="paragraph" w:styleId="DocumentMap">
    <w:name w:val="Document Map"/>
    <w:basedOn w:val="Normal"/>
    <w:semiHidden/>
    <w:rsid w:val="008625F8"/>
    <w:pPr>
      <w:shd w:val="clear" w:color="auto" w:fill="000080"/>
    </w:pPr>
    <w:rPr>
      <w:rFonts w:ascii="Tahoma" w:hAnsi="Tahoma" w:cs="Tahoma"/>
    </w:rPr>
  </w:style>
  <w:style w:type="paragraph" w:styleId="ListNumber2">
    <w:name w:val="List Number 2"/>
    <w:basedOn w:val="ListNumber"/>
    <w:rsid w:val="008625F8"/>
    <w:pPr>
      <w:ind w:left="851"/>
    </w:pPr>
  </w:style>
  <w:style w:type="paragraph" w:styleId="ListNumber">
    <w:name w:val="List Number"/>
    <w:basedOn w:val="List"/>
    <w:rsid w:val="008625F8"/>
  </w:style>
  <w:style w:type="paragraph" w:styleId="List">
    <w:name w:val="List"/>
    <w:basedOn w:val="Normal"/>
    <w:rsid w:val="008625F8"/>
    <w:pPr>
      <w:ind w:left="568" w:hanging="284"/>
    </w:pPr>
  </w:style>
  <w:style w:type="paragraph" w:styleId="Header">
    <w:name w:val="header"/>
    <w:rsid w:val="008625F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625F8"/>
    <w:rPr>
      <w:b/>
      <w:bCs/>
      <w:position w:val="6"/>
      <w:sz w:val="16"/>
      <w:szCs w:val="16"/>
    </w:rPr>
  </w:style>
  <w:style w:type="paragraph" w:styleId="FootnoteText">
    <w:name w:val="footnote text"/>
    <w:basedOn w:val="Normal"/>
    <w:semiHidden/>
    <w:rsid w:val="008625F8"/>
    <w:pPr>
      <w:keepLines/>
      <w:spacing w:after="0"/>
      <w:ind w:left="454" w:hanging="454"/>
    </w:pPr>
    <w:rPr>
      <w:sz w:val="16"/>
      <w:szCs w:val="16"/>
    </w:rPr>
  </w:style>
  <w:style w:type="paragraph" w:customStyle="1" w:styleId="3GPPHeader">
    <w:name w:val="3GPP_Header"/>
    <w:basedOn w:val="Normal"/>
    <w:rsid w:val="008625F8"/>
    <w:pPr>
      <w:tabs>
        <w:tab w:val="left" w:pos="1701"/>
        <w:tab w:val="right" w:pos="9639"/>
      </w:tabs>
      <w:spacing w:after="240"/>
    </w:pPr>
    <w:rPr>
      <w:b/>
      <w:sz w:val="24"/>
    </w:rPr>
  </w:style>
  <w:style w:type="paragraph" w:styleId="TOC9">
    <w:name w:val="toc 9"/>
    <w:basedOn w:val="TOC8"/>
    <w:semiHidden/>
    <w:rsid w:val="008625F8"/>
    <w:pPr>
      <w:ind w:left="1418" w:hanging="1418"/>
    </w:pPr>
  </w:style>
  <w:style w:type="paragraph" w:styleId="TOC6">
    <w:name w:val="toc 6"/>
    <w:basedOn w:val="TOC5"/>
    <w:next w:val="Normal"/>
    <w:semiHidden/>
    <w:rsid w:val="008625F8"/>
    <w:pPr>
      <w:ind w:left="1985" w:hanging="1985"/>
    </w:pPr>
  </w:style>
  <w:style w:type="paragraph" w:styleId="TOC7">
    <w:name w:val="toc 7"/>
    <w:basedOn w:val="TOC6"/>
    <w:next w:val="Normal"/>
    <w:semiHidden/>
    <w:rsid w:val="008625F8"/>
    <w:pPr>
      <w:ind w:left="2268" w:hanging="2268"/>
    </w:pPr>
  </w:style>
  <w:style w:type="paragraph" w:styleId="ListBullet2">
    <w:name w:val="List Bullet 2"/>
    <w:basedOn w:val="ListBullet"/>
    <w:rsid w:val="008625F8"/>
    <w:pPr>
      <w:numPr>
        <w:numId w:val="6"/>
      </w:numPr>
    </w:pPr>
  </w:style>
  <w:style w:type="paragraph" w:styleId="ListBullet">
    <w:name w:val="List Bullet"/>
    <w:basedOn w:val="BodyText"/>
    <w:rsid w:val="008625F8"/>
    <w:pPr>
      <w:numPr>
        <w:numId w:val="5"/>
      </w:numPr>
    </w:pPr>
  </w:style>
  <w:style w:type="paragraph" w:styleId="ListBullet3">
    <w:name w:val="List Bullet 3"/>
    <w:basedOn w:val="ListBullet2"/>
    <w:rsid w:val="008625F8"/>
    <w:pPr>
      <w:numPr>
        <w:numId w:val="7"/>
      </w:numPr>
    </w:pPr>
  </w:style>
  <w:style w:type="paragraph" w:customStyle="1" w:styleId="EQ">
    <w:name w:val="EQ"/>
    <w:basedOn w:val="Normal"/>
    <w:next w:val="Normal"/>
    <w:rsid w:val="008625F8"/>
    <w:pPr>
      <w:keepLines/>
      <w:tabs>
        <w:tab w:val="center" w:pos="4536"/>
        <w:tab w:val="right" w:pos="9072"/>
      </w:tabs>
      <w:spacing w:after="180"/>
      <w:jc w:val="left"/>
    </w:pPr>
    <w:rPr>
      <w:noProof/>
      <w:lang w:eastAsia="en-US"/>
    </w:rPr>
  </w:style>
  <w:style w:type="paragraph" w:styleId="List2">
    <w:name w:val="List 2"/>
    <w:basedOn w:val="List"/>
    <w:rsid w:val="008625F8"/>
    <w:pPr>
      <w:ind w:left="851"/>
    </w:pPr>
  </w:style>
  <w:style w:type="paragraph" w:styleId="List3">
    <w:name w:val="List 3"/>
    <w:basedOn w:val="List2"/>
    <w:rsid w:val="008625F8"/>
    <w:pPr>
      <w:ind w:left="1135"/>
    </w:pPr>
  </w:style>
  <w:style w:type="paragraph" w:styleId="List4">
    <w:name w:val="List 4"/>
    <w:basedOn w:val="List3"/>
    <w:rsid w:val="008625F8"/>
    <w:pPr>
      <w:ind w:left="1418"/>
    </w:pPr>
  </w:style>
  <w:style w:type="paragraph" w:styleId="List5">
    <w:name w:val="List 5"/>
    <w:basedOn w:val="List4"/>
    <w:rsid w:val="008625F8"/>
    <w:pPr>
      <w:ind w:left="1702"/>
    </w:pPr>
  </w:style>
  <w:style w:type="paragraph" w:customStyle="1" w:styleId="EditorsNote">
    <w:name w:val="Editor's Note"/>
    <w:basedOn w:val="Normal"/>
    <w:rsid w:val="008625F8"/>
    <w:pPr>
      <w:keepLines/>
      <w:spacing w:after="180"/>
      <w:ind w:left="1135" w:hanging="851"/>
      <w:jc w:val="left"/>
    </w:pPr>
    <w:rPr>
      <w:color w:val="FF0000"/>
      <w:lang w:eastAsia="en-US"/>
    </w:rPr>
  </w:style>
  <w:style w:type="paragraph" w:styleId="ListBullet4">
    <w:name w:val="List Bullet 4"/>
    <w:basedOn w:val="ListBullet3"/>
    <w:rsid w:val="008625F8"/>
    <w:pPr>
      <w:numPr>
        <w:numId w:val="8"/>
      </w:numPr>
    </w:pPr>
  </w:style>
  <w:style w:type="paragraph" w:styleId="ListBullet5">
    <w:name w:val="List Bullet 5"/>
    <w:basedOn w:val="ListBullet4"/>
    <w:rsid w:val="008625F8"/>
    <w:pPr>
      <w:numPr>
        <w:numId w:val="4"/>
      </w:numPr>
    </w:pPr>
  </w:style>
  <w:style w:type="paragraph" w:styleId="Footer">
    <w:name w:val="footer"/>
    <w:basedOn w:val="Header"/>
    <w:semiHidden/>
    <w:rsid w:val="008625F8"/>
    <w:pPr>
      <w:jc w:val="center"/>
    </w:pPr>
    <w:rPr>
      <w:i/>
      <w:iCs/>
    </w:rPr>
  </w:style>
  <w:style w:type="paragraph" w:customStyle="1" w:styleId="Reference">
    <w:name w:val="Reference"/>
    <w:basedOn w:val="Normal"/>
    <w:rsid w:val="008625F8"/>
    <w:pPr>
      <w:numPr>
        <w:numId w:val="2"/>
      </w:numPr>
    </w:pPr>
  </w:style>
  <w:style w:type="paragraph" w:styleId="BalloonText">
    <w:name w:val="Balloon Text"/>
    <w:basedOn w:val="Normal"/>
    <w:semiHidden/>
    <w:rsid w:val="008625F8"/>
    <w:rPr>
      <w:rFonts w:ascii="Tahoma" w:hAnsi="Tahoma" w:cs="Tahoma"/>
      <w:sz w:val="16"/>
      <w:szCs w:val="16"/>
    </w:rPr>
  </w:style>
  <w:style w:type="character" w:styleId="PageNumber">
    <w:name w:val="page number"/>
    <w:semiHidden/>
    <w:rsid w:val="008625F8"/>
  </w:style>
  <w:style w:type="paragraph" w:styleId="BodyText">
    <w:name w:val="Body Text"/>
    <w:basedOn w:val="Normal"/>
    <w:link w:val="BodyTextChar"/>
    <w:rsid w:val="008625F8"/>
  </w:style>
  <w:style w:type="character" w:styleId="Hyperlink">
    <w:name w:val="Hyperlink"/>
    <w:uiPriority w:val="99"/>
    <w:rsid w:val="008625F8"/>
    <w:rPr>
      <w:color w:val="0000FF"/>
      <w:u w:val="single"/>
      <w:lang w:val="en-GB"/>
    </w:rPr>
  </w:style>
  <w:style w:type="character" w:styleId="FollowedHyperlink">
    <w:name w:val="FollowedHyperlink"/>
    <w:semiHidden/>
    <w:rsid w:val="008625F8"/>
    <w:rPr>
      <w:color w:val="FF0000"/>
      <w:u w:val="single"/>
    </w:rPr>
  </w:style>
  <w:style w:type="character" w:styleId="CommentReference">
    <w:name w:val="annotation reference"/>
    <w:semiHidden/>
    <w:rsid w:val="008625F8"/>
    <w:rPr>
      <w:sz w:val="16"/>
      <w:szCs w:val="16"/>
    </w:rPr>
  </w:style>
  <w:style w:type="paragraph" w:styleId="CommentText">
    <w:name w:val="annotation text"/>
    <w:basedOn w:val="Normal"/>
    <w:link w:val="CommentTextChar"/>
    <w:semiHidden/>
    <w:rsid w:val="008625F8"/>
  </w:style>
  <w:style w:type="paragraph" w:styleId="CommentSubject">
    <w:name w:val="annotation subject"/>
    <w:basedOn w:val="CommentText"/>
    <w:next w:val="CommentText"/>
    <w:semiHidden/>
    <w:rsid w:val="008625F8"/>
    <w:rPr>
      <w:b/>
      <w:bCs/>
    </w:rPr>
  </w:style>
  <w:style w:type="character" w:customStyle="1" w:styleId="Heading1Char">
    <w:name w:val="Heading 1 Char"/>
    <w:link w:val="Heading1"/>
    <w:rsid w:val="008625F8"/>
    <w:rPr>
      <w:rFonts w:ascii="Arial" w:hAnsi="Arial" w:cs="Arial"/>
      <w:sz w:val="36"/>
      <w:szCs w:val="36"/>
      <w:lang w:val="en-GB"/>
    </w:rPr>
  </w:style>
  <w:style w:type="paragraph" w:customStyle="1" w:styleId="B1">
    <w:name w:val="B1"/>
    <w:basedOn w:val="List"/>
    <w:link w:val="B1Char1"/>
    <w:rsid w:val="008625F8"/>
    <w:pPr>
      <w:spacing w:after="180"/>
      <w:jc w:val="left"/>
    </w:pPr>
    <w:rPr>
      <w:lang w:eastAsia="en-US"/>
    </w:rPr>
  </w:style>
  <w:style w:type="paragraph" w:customStyle="1" w:styleId="B2">
    <w:name w:val="B2"/>
    <w:basedOn w:val="List2"/>
    <w:rsid w:val="008625F8"/>
    <w:pPr>
      <w:spacing w:after="180"/>
      <w:jc w:val="left"/>
    </w:pPr>
    <w:rPr>
      <w:lang w:eastAsia="en-US"/>
    </w:rPr>
  </w:style>
  <w:style w:type="paragraph" w:customStyle="1" w:styleId="B3">
    <w:name w:val="B3"/>
    <w:basedOn w:val="List3"/>
    <w:rsid w:val="008625F8"/>
    <w:pPr>
      <w:spacing w:after="180"/>
      <w:jc w:val="left"/>
    </w:pPr>
    <w:rPr>
      <w:lang w:eastAsia="en-US"/>
    </w:rPr>
  </w:style>
  <w:style w:type="paragraph" w:customStyle="1" w:styleId="B4">
    <w:name w:val="B4"/>
    <w:basedOn w:val="List4"/>
    <w:rsid w:val="008625F8"/>
    <w:pPr>
      <w:spacing w:after="180"/>
      <w:jc w:val="left"/>
    </w:pPr>
    <w:rPr>
      <w:lang w:eastAsia="en-US"/>
    </w:rPr>
  </w:style>
  <w:style w:type="paragraph" w:customStyle="1" w:styleId="Proposal">
    <w:name w:val="Proposal"/>
    <w:basedOn w:val="Normal"/>
    <w:rsid w:val="008625F8"/>
    <w:pPr>
      <w:numPr>
        <w:numId w:val="3"/>
      </w:numPr>
      <w:tabs>
        <w:tab w:val="clear" w:pos="1304"/>
        <w:tab w:val="left" w:pos="1701"/>
      </w:tabs>
      <w:ind w:left="1701" w:hanging="1701"/>
    </w:pPr>
    <w:rPr>
      <w:b/>
      <w:bCs/>
    </w:rPr>
  </w:style>
  <w:style w:type="character" w:customStyle="1" w:styleId="BodyTextChar">
    <w:name w:val="Body Text Char"/>
    <w:link w:val="BodyText"/>
    <w:rsid w:val="008625F8"/>
    <w:rPr>
      <w:rFonts w:ascii="Arial" w:hAnsi="Arial"/>
      <w:lang w:val="en-GB"/>
    </w:rPr>
  </w:style>
  <w:style w:type="paragraph" w:customStyle="1" w:styleId="B5">
    <w:name w:val="B5"/>
    <w:basedOn w:val="List5"/>
    <w:rsid w:val="008625F8"/>
    <w:pPr>
      <w:spacing w:after="180"/>
      <w:jc w:val="left"/>
    </w:pPr>
    <w:rPr>
      <w:lang w:eastAsia="en-US"/>
    </w:rPr>
  </w:style>
  <w:style w:type="paragraph" w:customStyle="1" w:styleId="EX">
    <w:name w:val="EX"/>
    <w:basedOn w:val="Normal"/>
    <w:rsid w:val="008625F8"/>
    <w:pPr>
      <w:keepLines/>
      <w:spacing w:after="180"/>
      <w:ind w:left="1702" w:hanging="1418"/>
      <w:jc w:val="left"/>
    </w:pPr>
    <w:rPr>
      <w:lang w:eastAsia="en-US"/>
    </w:rPr>
  </w:style>
  <w:style w:type="paragraph" w:customStyle="1" w:styleId="EW">
    <w:name w:val="EW"/>
    <w:basedOn w:val="EX"/>
    <w:rsid w:val="008625F8"/>
    <w:pPr>
      <w:spacing w:after="0"/>
    </w:pPr>
  </w:style>
  <w:style w:type="paragraph" w:customStyle="1" w:styleId="TAL">
    <w:name w:val="TAL"/>
    <w:basedOn w:val="Normal"/>
    <w:rsid w:val="008625F8"/>
    <w:pPr>
      <w:keepNext/>
      <w:keepLines/>
      <w:spacing w:after="0"/>
      <w:jc w:val="left"/>
    </w:pPr>
    <w:rPr>
      <w:sz w:val="18"/>
      <w:lang w:eastAsia="en-US"/>
    </w:rPr>
  </w:style>
  <w:style w:type="paragraph" w:customStyle="1" w:styleId="TAC">
    <w:name w:val="TAC"/>
    <w:basedOn w:val="TAL"/>
    <w:rsid w:val="008625F8"/>
    <w:pPr>
      <w:jc w:val="center"/>
    </w:pPr>
  </w:style>
  <w:style w:type="paragraph" w:customStyle="1" w:styleId="TAH">
    <w:name w:val="TAH"/>
    <w:basedOn w:val="TAC"/>
    <w:rsid w:val="008625F8"/>
    <w:rPr>
      <w:b/>
    </w:rPr>
  </w:style>
  <w:style w:type="paragraph" w:customStyle="1" w:styleId="TAN">
    <w:name w:val="TAN"/>
    <w:basedOn w:val="TAL"/>
    <w:rsid w:val="008625F8"/>
    <w:pPr>
      <w:ind w:left="851" w:hanging="851"/>
    </w:pPr>
  </w:style>
  <w:style w:type="paragraph" w:customStyle="1" w:styleId="TAR">
    <w:name w:val="TAR"/>
    <w:basedOn w:val="TAL"/>
    <w:rsid w:val="008625F8"/>
    <w:pPr>
      <w:jc w:val="right"/>
    </w:pPr>
  </w:style>
  <w:style w:type="paragraph" w:customStyle="1" w:styleId="TH">
    <w:name w:val="TH"/>
    <w:basedOn w:val="Normal"/>
    <w:rsid w:val="008625F8"/>
    <w:pPr>
      <w:keepNext/>
      <w:keepLines/>
      <w:spacing w:before="60" w:after="180"/>
      <w:jc w:val="center"/>
    </w:pPr>
    <w:rPr>
      <w:b/>
      <w:lang w:eastAsia="en-US"/>
    </w:rPr>
  </w:style>
  <w:style w:type="paragraph" w:customStyle="1" w:styleId="TF">
    <w:name w:val="TF"/>
    <w:basedOn w:val="TH"/>
    <w:rsid w:val="008625F8"/>
    <w:pPr>
      <w:keepNext w:val="0"/>
      <w:spacing w:before="0" w:after="240"/>
    </w:pPr>
  </w:style>
  <w:style w:type="paragraph" w:customStyle="1" w:styleId="TT">
    <w:name w:val="TT"/>
    <w:basedOn w:val="Heading1"/>
    <w:next w:val="Normal"/>
    <w:rsid w:val="008625F8"/>
    <w:pPr>
      <w:numPr>
        <w:numId w:val="0"/>
      </w:numPr>
      <w:ind w:left="1134" w:hanging="1134"/>
      <w:outlineLvl w:val="9"/>
    </w:pPr>
    <w:rPr>
      <w:rFonts w:cs="Times New Roman"/>
      <w:szCs w:val="20"/>
      <w:lang w:eastAsia="en-US"/>
    </w:rPr>
  </w:style>
  <w:style w:type="paragraph" w:customStyle="1" w:styleId="ZA">
    <w:name w:val="ZA"/>
    <w:rsid w:val="00862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2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625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62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625F8"/>
  </w:style>
  <w:style w:type="paragraph" w:customStyle="1" w:styleId="ZH">
    <w:name w:val="ZH"/>
    <w:rsid w:val="008625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62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625F8"/>
    <w:pPr>
      <w:framePr w:hRule="auto" w:wrap="notBeside" w:y="852"/>
    </w:pPr>
    <w:rPr>
      <w:i w:val="0"/>
      <w:sz w:val="40"/>
    </w:rPr>
  </w:style>
  <w:style w:type="paragraph" w:customStyle="1" w:styleId="ZU">
    <w:name w:val="ZU"/>
    <w:rsid w:val="00862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625F8"/>
    <w:pPr>
      <w:framePr w:wrap="notBeside" w:y="16161"/>
    </w:pPr>
  </w:style>
  <w:style w:type="paragraph" w:customStyle="1" w:styleId="FP">
    <w:name w:val="FP"/>
    <w:basedOn w:val="Normal"/>
    <w:rsid w:val="008625F8"/>
    <w:pPr>
      <w:spacing w:after="0"/>
      <w:jc w:val="left"/>
    </w:pPr>
    <w:rPr>
      <w:lang w:eastAsia="en-US"/>
    </w:rPr>
  </w:style>
  <w:style w:type="paragraph" w:customStyle="1" w:styleId="Observation">
    <w:name w:val="Observation"/>
    <w:basedOn w:val="Proposal"/>
    <w:qFormat/>
    <w:rsid w:val="008625F8"/>
    <w:pPr>
      <w:numPr>
        <w:numId w:val="13"/>
      </w:numPr>
      <w:ind w:left="1701" w:hanging="1701"/>
    </w:pPr>
  </w:style>
  <w:style w:type="paragraph" w:styleId="TableofFigures">
    <w:name w:val="table of figures"/>
    <w:basedOn w:val="Normal"/>
    <w:next w:val="Normal"/>
    <w:uiPriority w:val="99"/>
    <w:rsid w:val="008625F8"/>
    <w:pPr>
      <w:ind w:left="1418" w:hanging="1418"/>
      <w:jc w:val="left"/>
    </w:pPr>
    <w:rPr>
      <w:b/>
    </w:rPr>
  </w:style>
  <w:style w:type="paragraph" w:customStyle="1" w:styleId="CRCoverPage">
    <w:name w:val="CR Cover Page"/>
    <w:rsid w:val="008625F8"/>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hAnsiTheme="minorHAnsi"/>
      <w:spacing w:val="2"/>
      <w:sz w:val="22"/>
      <w:szCs w:val="22"/>
      <w:lang w:eastAsia="en-US"/>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 w:type="paragraph" w:customStyle="1" w:styleId="Doc-text2">
    <w:name w:val="Doc-text2"/>
    <w:basedOn w:val="Normal"/>
    <w:link w:val="Doc-text2Char"/>
    <w:qFormat/>
    <w:rsid w:val="008127E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127E7"/>
    <w:rPr>
      <w:rFonts w:ascii="Arial" w:eastAsia="MS Mincho" w:hAnsi="Arial"/>
      <w:szCs w:val="24"/>
      <w:lang w:val="en-GB" w:eastAsia="en-GB"/>
    </w:rPr>
  </w:style>
  <w:style w:type="character" w:customStyle="1" w:styleId="B1Char1">
    <w:name w:val="B1 Char1"/>
    <w:link w:val="B1"/>
    <w:rsid w:val="00113C1B"/>
    <w:rPr>
      <w:rFonts w:ascii="Arial" w:hAnsi="Arial"/>
      <w:lang w:val="en-GB" w:eastAsia="en-US"/>
    </w:rPr>
  </w:style>
  <w:style w:type="paragraph" w:styleId="BodyTextIndent">
    <w:name w:val="Body Text Indent"/>
    <w:basedOn w:val="Normal"/>
    <w:link w:val="BodyTextIndentChar"/>
    <w:unhideWhenUsed/>
    <w:rsid w:val="00D942D6"/>
    <w:pPr>
      <w:ind w:left="283"/>
    </w:pPr>
  </w:style>
  <w:style w:type="character" w:customStyle="1" w:styleId="BodyTextIndentChar">
    <w:name w:val="Body Text Indent Char"/>
    <w:basedOn w:val="DefaultParagraphFont"/>
    <w:link w:val="BodyTextIndent"/>
    <w:rsid w:val="00D942D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5NUHHDQN7SK2-1-114862</_dlc_DocId>
    <TaxCatchAll xmlns="08b2df90-05d3-4030-90d4-c9feeb4a1cd9">
      <Value>10</Value>
      <Value>9</Value>
      <Value>8</Value>
      <Value>3</Value>
      <Value>1</Value>
    </TaxCatchAll>
    <_dlc_DocIdUrl xmlns="08b2df90-05d3-4030-90d4-c9feeb4a1cd9">
      <Url>https://ericoll.internal.ericsson.com/sites/STAR/_layouts/DocIdRedir.aspx?ID=5NUHHDQN7SK2-1-114862</Url>
      <Description>5NUHHDQN7SK2-1-114862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C2888BB6-352D-4DBC-A5DF-BE21401724A6}"/>
</file>

<file path=customXml/itemProps3.xml><?xml version="1.0" encoding="utf-8"?>
<ds:datastoreItem xmlns:ds="http://schemas.openxmlformats.org/officeDocument/2006/customXml" ds:itemID="{460107DC-5761-40F6-8E1B-3112A03859E6}"/>
</file>

<file path=customXml/itemProps4.xml><?xml version="1.0" encoding="utf-8"?>
<ds:datastoreItem xmlns:ds="http://schemas.openxmlformats.org/officeDocument/2006/customXml" ds:itemID="{CE2768D3-7C09-489E-872D-84045F0F0C04}"/>
</file>

<file path=customXml/itemProps5.xml><?xml version="1.0" encoding="utf-8"?>
<ds:datastoreItem xmlns:ds="http://schemas.openxmlformats.org/officeDocument/2006/customXml" ds:itemID="{9D7FE743-17E6-4A85-AB84-405626C57A96}"/>
</file>

<file path=customXml/itemProps6.xml><?xml version="1.0" encoding="utf-8"?>
<ds:datastoreItem xmlns:ds="http://schemas.openxmlformats.org/officeDocument/2006/customXml" ds:itemID="{7472AF21-D532-4E7E-85C3-8CBB6CF89293}"/>
</file>

<file path=docProps/app.xml><?xml version="1.0" encoding="utf-8"?>
<Properties xmlns="http://schemas.openxmlformats.org/officeDocument/2006/extended-properties" xmlns:vt="http://schemas.openxmlformats.org/officeDocument/2006/docPropsVTypes">
  <Template>R2-17xxxx%20-%20Contribution%20Template</Template>
  <TotalTime>401</TotalTime>
  <Pages>3</Pages>
  <Words>747</Words>
  <Characters>6051</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Ericsson; TDoc; 3GPP</cp:keywords>
  <cp:lastModifiedBy>Stefan Wager</cp:lastModifiedBy>
  <cp:revision>20</cp:revision>
  <cp:lastPrinted>2008-01-31T06:09:00Z</cp:lastPrinted>
  <dcterms:created xsi:type="dcterms:W3CDTF">2017-03-02T08:51:00Z</dcterms:created>
  <dcterms:modified xsi:type="dcterms:W3CDTF">2017-03-24T23:17:00Z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28a7f3a5-d7a7-4be7-aaf2-154d90776d00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